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879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879340"/>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80" w:type="dxa"/>
            <w:vAlign w:val="bottom"/>
            <w:gridSpan w:val="2"/>
            <w:vMerge w:val="restart"/>
          </w:tcPr>
          <w:p>
            <w:pPr>
              <w:spacing w:after="0"/>
              <w:rPr>
                <w:rFonts w:ascii="Times New Roman" w:cs="Times New Roman" w:eastAsia="Times New Roman" w:hAnsi="Times New Roman"/>
                <w:sz w:val="21"/>
                <w:szCs w:val="21"/>
                <w:color w:val="0000EE"/>
                <w:w w:val="96"/>
              </w:rPr>
            </w:pPr>
            <w:hyperlink r:id="rId13">
              <w:r>
                <w:rPr>
                  <w:rFonts w:ascii="Times New Roman" w:cs="Times New Roman" w:eastAsia="Times New Roman" w:hAnsi="Times New Roman"/>
                  <w:sz w:val="21"/>
                  <w:szCs w:val="21"/>
                  <w:color w:val="0000EE"/>
                  <w:w w:val="96"/>
                </w:rPr>
                <w:t>POMPA MARK A</w:t>
              </w:r>
            </w:hyperlink>
          </w:p>
        </w:tc>
        <w:tc>
          <w:tcPr>
            <w:tcW w:w="2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APOGEE ENTERPRISES,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APOG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tcBorders>
              <w:bottom w:val="single" w:sz="8" w:color="0000EE"/>
            </w:tcBorders>
            <w:gridSpan w:val="2"/>
            <w:vMerge w:val="continue"/>
          </w:tcPr>
          <w:p>
            <w:pPr>
              <w:spacing w:after="0"/>
              <w:rPr>
                <w:sz w:val="5"/>
                <w:szCs w:val="5"/>
                <w:color w:val="auto"/>
              </w:rPr>
            </w:pPr>
          </w:p>
        </w:tc>
        <w:tc>
          <w:tcPr>
            <w:tcW w:w="2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74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7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20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204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2040" w:type="dxa"/>
            <w:vAlign w:val="bottom"/>
            <w:vMerge w:val="restart"/>
          </w:tcPr>
          <w:p>
            <w:pPr>
              <w:ind w:left="86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2040" w:type="dxa"/>
            <w:vAlign w:val="bottom"/>
            <w:vMerge w:val="continue"/>
          </w:tcPr>
          <w:p>
            <w:pPr>
              <w:spacing w:after="0"/>
              <w:rPr>
                <w:sz w:val="8"/>
                <w:szCs w:val="8"/>
                <w:color w:val="auto"/>
              </w:rPr>
            </w:pPr>
          </w:p>
        </w:tc>
        <w:tc>
          <w:tcPr>
            <w:tcW w:w="2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10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APOGEE ENTERPRISES, INC.</w:t>
            </w:r>
          </w:p>
        </w:tc>
        <w:tc>
          <w:tcPr>
            <w:tcW w:w="2900" w:type="dxa"/>
            <w:vAlign w:val="bottom"/>
            <w:gridSpan w:val="3"/>
            <w:vMerge w:val="continue"/>
          </w:tcPr>
          <w:p>
            <w:pPr>
              <w:spacing w:after="0"/>
              <w:rPr>
                <w:sz w:val="10"/>
                <w:szCs w:val="10"/>
                <w:color w:val="auto"/>
              </w:rPr>
            </w:pPr>
          </w:p>
        </w:tc>
        <w:tc>
          <w:tcPr>
            <w:tcW w:w="10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4400 WEST 78TH STREET, SUITE 520</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74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55435</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2"/>
                <w:szCs w:val="12"/>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2,741</w:t>
            </w: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2,741</w:t>
            </w: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41.96</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27,581</w:t>
            </w:r>
            <w:r>
              <w:rPr>
                <w:rFonts w:ascii="Times New Roman" w:cs="Times New Roman" w:eastAsia="Times New Roman" w:hAnsi="Times New Roman"/>
                <w:sz w:val="21"/>
                <w:szCs w:val="21"/>
                <w:color w:val="008000"/>
                <w:vertAlign w:val="superscript"/>
              </w:rPr>
              <w:t>(3)</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deferred restricted stock units were allocated under the 2019 Non-Employee Director Stock Plan. The deferred restricted stock units will be settled in shares of common stock following the director's termination from the Board in accordance with the election of the reporting person or following the occurrence of other events specified in the Plan.</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Settled 1-for-1.</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deferred restricted stock units acquired pursuant to a dividend equivalent feature of the 2009 Non-Employee Director Stock Incentive Plan and the 2019 Non-Employee Director Stock Plan.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/s/Bryan A. Welp, Attorney-in- </w:t>
      </w:r>
      <w:r>
        <w:rPr>
          <w:rFonts w:ascii="Times New Roman" w:cs="Times New Roman" w:eastAsia="Times New Roman" w:hAnsi="Times New Roman"/>
          <w:sz w:val="33"/>
          <w:szCs w:val="33"/>
          <w:color w:val="0000FF"/>
          <w:vertAlign w:val="subscript"/>
        </w:rPr>
        <w:t>06/26/2026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354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Mark A. Pompa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0521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5219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15540" TargetMode="External"/><Relationship Id="rId14" Type="http://schemas.openxmlformats.org/officeDocument/2006/relationships/hyperlink" Target="http://www.sec.gov/cgi-bin/browse-edgar?action=getcompany&amp;CIK=00000068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2026-06-26T12:07:46Z</dcterms:created>
  <dcterms:modified xsi:type="dcterms:W3CDTF">2026-06-26T12:07:46Z</dcterms:modified>
</cp:coreProperties>
</file>