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4"/>
          <w:szCs w:val="14"/>
          <w:color w:val="auto"/>
        </w:rPr>
        <w:t>July 1, 2026</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APOGEE ENTERPRISES,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Minnesota</w:t>
            </w:r>
          </w:p>
        </w:tc>
        <w:tc>
          <w:tcPr>
            <w:tcW w:w="80" w:type="dxa"/>
            <w:vAlign w:val="bottom"/>
          </w:tcPr>
          <w:p>
            <w:pPr>
              <w:spacing w:after="0"/>
              <w:rPr>
                <w:sz w:val="15"/>
                <w:szCs w:val="15"/>
                <w:color w:val="auto"/>
              </w:rPr>
            </w:pPr>
          </w:p>
        </w:tc>
        <w:tc>
          <w:tcPr>
            <w:tcW w:w="23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0-6365</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ind w:right="1836"/>
              <w:spacing w:after="0"/>
              <w:rPr>
                <w:sz w:val="20"/>
                <w:szCs w:val="20"/>
                <w:color w:val="auto"/>
              </w:rPr>
            </w:pPr>
            <w:r>
              <w:rPr>
                <w:rFonts w:ascii="Times New Roman" w:cs="Times New Roman" w:eastAsia="Times New Roman" w:hAnsi="Times New Roman"/>
                <w:sz w:val="13"/>
                <w:szCs w:val="13"/>
                <w:b w:val="1"/>
                <w:bCs w:val="1"/>
                <w:color w:val="auto"/>
              </w:rPr>
              <w:t>41-0919654</w:t>
            </w:r>
          </w:p>
        </w:tc>
      </w:tr>
      <w:tr>
        <w:trPr>
          <w:trHeight w:val="174"/>
        </w:trPr>
        <w:tc>
          <w:tcPr>
            <w:tcW w:w="4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(State or other jurisdiction of incorporation)</w:t>
            </w:r>
          </w:p>
        </w:tc>
        <w:tc>
          <w:tcPr>
            <w:tcW w:w="23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7"/>
              </w:rPr>
              <w:t>(Commission File Number)</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Pr>
          <w:p>
            <w:pPr>
              <w:jc w:val="center"/>
              <w:ind w:right="1136"/>
              <w:spacing w:after="0"/>
              <w:rPr>
                <w:sz w:val="20"/>
                <w:szCs w:val="20"/>
                <w:color w:val="auto"/>
              </w:rPr>
            </w:pPr>
            <w:r>
              <w:rPr>
                <w:rFonts w:ascii="Times New Roman" w:cs="Times New Roman" w:eastAsia="Times New Roman" w:hAnsi="Times New Roman"/>
                <w:sz w:val="13"/>
                <w:szCs w:val="13"/>
                <w:color w:val="auto"/>
                <w:w w:val="98"/>
              </w:rPr>
              <w:t>(I.R.S. Employer Identification No.)</w:t>
            </w:r>
          </w:p>
        </w:tc>
      </w:tr>
      <w:tr>
        <w:trPr>
          <w:trHeight w:val="448"/>
        </w:trPr>
        <w:tc>
          <w:tcPr>
            <w:tcW w:w="414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242424"/>
              </w:rPr>
              <w:t>4400 West 78th Street, Suite 520</w:t>
            </w:r>
          </w:p>
        </w:tc>
        <w:tc>
          <w:tcPr>
            <w:tcW w:w="23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242424"/>
              </w:rPr>
              <w:t>Minneapolis</w:t>
            </w:r>
          </w:p>
        </w:tc>
        <w:tc>
          <w:tcPr>
            <w:tcW w:w="160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242424"/>
              </w:rPr>
              <w:t>Minnesota</w:t>
            </w:r>
          </w:p>
        </w:tc>
        <w:tc>
          <w:tcPr>
            <w:tcW w:w="3220" w:type="dxa"/>
            <w:vAlign w:val="bottom"/>
          </w:tcPr>
          <w:p>
            <w:pPr>
              <w:jc w:val="right"/>
              <w:ind w:right="1376"/>
              <w:spacing w:after="0"/>
              <w:rPr>
                <w:sz w:val="20"/>
                <w:szCs w:val="20"/>
                <w:color w:val="auto"/>
              </w:rPr>
            </w:pPr>
            <w:r>
              <w:rPr>
                <w:rFonts w:ascii="Times New Roman" w:cs="Times New Roman" w:eastAsia="Times New Roman" w:hAnsi="Times New Roman"/>
                <w:sz w:val="13"/>
                <w:szCs w:val="13"/>
                <w:b w:val="1"/>
                <w:bCs w:val="1"/>
                <w:color w:val="auto"/>
              </w:rPr>
              <w:t>55435</w:t>
            </w:r>
          </w:p>
        </w:tc>
      </w:tr>
      <w:tr>
        <w:trPr>
          <w:trHeight w:val="158"/>
        </w:trPr>
        <w:tc>
          <w:tcPr>
            <w:tcW w:w="6460" w:type="dxa"/>
            <w:vAlign w:val="bottom"/>
            <w:tcBorders>
              <w:top w:val="single" w:sz="8" w:color="auto"/>
            </w:tcBorders>
            <w:gridSpan w:val="3"/>
          </w:tcPr>
          <w:p>
            <w:pPr>
              <w:ind w:left="29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8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 xml:space="preserve">Registrant's telephone number, including area code: </w:t>
      </w:r>
      <w:r>
        <w:rPr>
          <w:rFonts w:ascii="Arial" w:cs="Arial" w:eastAsia="Arial" w:hAnsi="Arial"/>
          <w:sz w:val="13"/>
          <w:szCs w:val="13"/>
          <w:b w:val="1"/>
          <w:bCs w:val="1"/>
          <w:color w:val="242424"/>
        </w:rPr>
        <w:t>(952) 835-1874</w:t>
      </w: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165"/>
        </w:trPr>
        <w:tc>
          <w:tcPr>
            <w:tcW w:w="4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Exchange Act:</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64"/>
        </w:trPr>
        <w:tc>
          <w:tcPr>
            <w:tcW w:w="13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Name of each exchange on which registered</w:t>
            </w:r>
          </w:p>
        </w:tc>
      </w:tr>
      <w:tr>
        <w:trPr>
          <w:trHeight w:val="188"/>
        </w:trPr>
        <w:tc>
          <w:tcPr>
            <w:tcW w:w="42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color w:val="auto"/>
                <w:w w:val="96"/>
              </w:rPr>
              <w:t>Common Stock, $0.33 1/3 Par Value</w:t>
            </w:r>
          </w:p>
        </w:tc>
        <w:tc>
          <w:tcPr>
            <w:tcW w:w="820" w:type="dxa"/>
            <w:vAlign w:val="bottom"/>
          </w:tcPr>
          <w:p>
            <w:pPr>
              <w:spacing w:after="0"/>
              <w:rPr>
                <w:sz w:val="16"/>
                <w:szCs w:val="16"/>
                <w:color w:val="auto"/>
              </w:rPr>
            </w:pPr>
          </w:p>
        </w:tc>
        <w:tc>
          <w:tcPr>
            <w:tcW w:w="196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color w:val="auto"/>
                <w:w w:val="95"/>
              </w:rPr>
              <w:t>APOG</w:t>
            </w:r>
          </w:p>
        </w:tc>
        <w:tc>
          <w:tcPr>
            <w:tcW w:w="9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w:t>
            </w:r>
          </w:p>
        </w:tc>
      </w:tr>
    </w:tbl>
    <w:p>
      <w:pPr>
        <w:spacing w:after="0" w:line="142" w:lineRule="exact"/>
        <w:rPr>
          <w:sz w:val="24"/>
          <w:szCs w:val="24"/>
          <w:color w:val="auto"/>
        </w:rPr>
      </w:pPr>
    </w:p>
    <w:p>
      <w:pPr>
        <w:ind w:right="30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29" w:lineRule="exact"/>
        <w:rPr>
          <w:sz w:val="24"/>
          <w:szCs w:val="24"/>
          <w:color w:val="auto"/>
        </w:rPr>
      </w:pPr>
    </w:p>
    <w:p>
      <w:pPr>
        <w:ind w:left="200" w:hanging="160"/>
        <w:spacing w:after="0"/>
        <w:tabs>
          <w:tab w:leader="none" w:pos="2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Emerging growth company</w:t>
      </w:r>
    </w:p>
    <w:p>
      <w:pPr>
        <w:spacing w:after="0" w:line="84"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800100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4"/>
          <w:szCs w:val="14"/>
          <w:b w:val="1"/>
          <w:bCs w:val="1"/>
          <w:color w:val="auto"/>
        </w:rPr>
        <w:t>Item 2.01</w:t>
      </w:r>
      <w:r>
        <w:rPr>
          <w:sz w:val="20"/>
          <w:szCs w:val="20"/>
          <w:color w:val="auto"/>
        </w:rPr>
        <w:tab/>
      </w:r>
      <w:r>
        <w:rPr>
          <w:rFonts w:ascii="Arial" w:cs="Arial" w:eastAsia="Arial" w:hAnsi="Arial"/>
          <w:sz w:val="14"/>
          <w:szCs w:val="14"/>
          <w:b w:val="1"/>
          <w:bCs w:val="1"/>
          <w:color w:val="auto"/>
        </w:rPr>
        <w:t>Completion of Acquisition or Disposition of Assets.</w:t>
      </w:r>
    </w:p>
    <w:p>
      <w:pPr>
        <w:spacing w:after="0" w:line="168" w:lineRule="exact"/>
        <w:rPr>
          <w:sz w:val="20"/>
          <w:szCs w:val="20"/>
          <w:color w:val="auto"/>
        </w:rPr>
      </w:pPr>
    </w:p>
    <w:p>
      <w:pPr>
        <w:jc w:val="both"/>
        <w:ind w:left="20"/>
        <w:spacing w:after="0" w:line="290" w:lineRule="auto"/>
        <w:rPr>
          <w:sz w:val="20"/>
          <w:szCs w:val="20"/>
          <w:color w:val="auto"/>
        </w:rPr>
      </w:pPr>
      <w:r>
        <w:rPr>
          <w:rFonts w:ascii="Arial" w:cs="Arial" w:eastAsia="Arial" w:hAnsi="Arial"/>
          <w:sz w:val="14"/>
          <w:szCs w:val="14"/>
          <w:color w:val="auto"/>
        </w:rPr>
        <w:t>On July 1, 2026, Apogee Enterprises, Inc. (the “Company”) completed the transaction contemplated by the Merger Agreement, dated May 27, 2026 (the “Merger Agreement”), among the Company, Keller Companies, Inc. (“KCI”), certain equityholders party thereto and the other parties thereto.</w:t>
      </w:r>
    </w:p>
    <w:p>
      <w:pPr>
        <w:spacing w:after="0" w:line="35" w:lineRule="exact"/>
        <w:rPr>
          <w:sz w:val="20"/>
          <w:szCs w:val="20"/>
          <w:color w:val="auto"/>
        </w:rPr>
      </w:pPr>
    </w:p>
    <w:p>
      <w:pPr>
        <w:jc w:val="both"/>
        <w:ind w:left="20"/>
        <w:spacing w:after="0" w:line="265" w:lineRule="auto"/>
        <w:rPr>
          <w:sz w:val="20"/>
          <w:szCs w:val="20"/>
          <w:color w:val="auto"/>
        </w:rPr>
      </w:pPr>
      <w:r>
        <w:rPr>
          <w:rFonts w:ascii="Arial" w:cs="Arial" w:eastAsia="Arial" w:hAnsi="Arial"/>
          <w:sz w:val="14"/>
          <w:szCs w:val="14"/>
          <w:color w:val="auto"/>
        </w:rPr>
        <w:t>Pursuant to the terms and conditions of the Merger Agreement, the Company acquired all of the outstanding equity interests of KCI and its subsidiaries, including Kalwall Corporation and Structures Unlimited, Inc. (collectively, the “Acquired Companies”), in exchange for cash consideration consisting of $105 million paid at closing (the “Base Purchase Price”), subject to customary post-closing adjustments as set forth in the Merger Agreement, and up to an additional $10 million of contingent consideration based on the future financial performance of the Acquired Companies.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Company funded the acquisition using available cash and borrowings under its existing revolving credit facility.</w:t>
      </w:r>
    </w:p>
    <w:p>
      <w:pPr>
        <w:spacing w:after="0" w:line="94" w:lineRule="exact"/>
        <w:rPr>
          <w:sz w:val="20"/>
          <w:szCs w:val="20"/>
          <w:color w:val="auto"/>
        </w:rPr>
      </w:pPr>
    </w:p>
    <w:p>
      <w:pPr>
        <w:jc w:val="both"/>
        <w:ind w:left="20"/>
        <w:spacing w:after="0" w:line="265" w:lineRule="auto"/>
        <w:rPr>
          <w:sz w:val="20"/>
          <w:szCs w:val="20"/>
          <w:color w:val="auto"/>
        </w:rPr>
      </w:pPr>
      <w:r>
        <w:rPr>
          <w:rFonts w:ascii="Arial" w:cs="Arial" w:eastAsia="Arial" w:hAnsi="Arial"/>
          <w:sz w:val="14"/>
          <w:szCs w:val="14"/>
          <w:color w:val="auto"/>
        </w:rPr>
        <w:t>The material terms of the Merger Agreement were previously reported in Item 1.01 of the Company’s Current Report on Form 8-K filed on May 28, 2026 with the U.S. Securities and Exchange Commission (the “SEC”). The foregoing description of the Merger Agreement and the transactions contemplated thereby does not purport to be complete and is subject to, and qualified in its entirety by, the full text of the Merger Agreement, a copy of which was filed with the SEC as Exhibit 2.1 to the Company’s Current Report on Form 8-K on May 28, 2026 and is incorporated into this Item 2.01 by reference.</w:t>
      </w:r>
    </w:p>
    <w:p>
      <w:pPr>
        <w:spacing w:after="0" w:line="85" w:lineRule="exact"/>
        <w:rPr>
          <w:sz w:val="20"/>
          <w:szCs w:val="20"/>
          <w:color w:val="auto"/>
        </w:rPr>
      </w:pPr>
    </w:p>
    <w:p>
      <w:pPr>
        <w:spacing w:after="0"/>
        <w:tabs>
          <w:tab w:leader="none" w:pos="120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57" w:lineRule="exact"/>
        <w:rPr>
          <w:sz w:val="20"/>
          <w:szCs w:val="20"/>
          <w:color w:val="auto"/>
        </w:rPr>
      </w:pPr>
    </w:p>
    <w:p>
      <w:pPr>
        <w:jc w:val="both"/>
        <w:ind w:left="20"/>
        <w:spacing w:after="0" w:line="290" w:lineRule="auto"/>
        <w:rPr>
          <w:sz w:val="20"/>
          <w:szCs w:val="20"/>
          <w:color w:val="auto"/>
        </w:rPr>
      </w:pPr>
      <w:r>
        <w:rPr>
          <w:rFonts w:ascii="Arial" w:cs="Arial" w:eastAsia="Arial" w:hAnsi="Arial"/>
          <w:sz w:val="14"/>
          <w:szCs w:val="14"/>
          <w:color w:val="auto"/>
        </w:rPr>
        <w:t>On July 1, 2026, the Company issued a press release announcing the completion of the acquisition described in Item 2.01, a copy of which is filed as Exhibit 99.1 and incorporated into this Item 7.01 by reference.</w:t>
      </w:r>
    </w:p>
    <w:p>
      <w:pPr>
        <w:spacing w:after="0" w:line="35" w:lineRule="exact"/>
        <w:rPr>
          <w:sz w:val="20"/>
          <w:szCs w:val="20"/>
          <w:color w:val="auto"/>
        </w:rPr>
      </w:pPr>
    </w:p>
    <w:p>
      <w:pPr>
        <w:jc w:val="both"/>
        <w:ind w:left="20"/>
        <w:spacing w:after="0" w:line="271" w:lineRule="auto"/>
        <w:rPr>
          <w:sz w:val="20"/>
          <w:szCs w:val="20"/>
          <w:color w:val="auto"/>
        </w:rPr>
      </w:pPr>
      <w:r>
        <w:rPr>
          <w:rFonts w:ascii="Arial" w:cs="Arial" w:eastAsia="Arial" w:hAnsi="Arial"/>
          <w:sz w:val="14"/>
          <w:szCs w:val="14"/>
          <w:color w:val="auto"/>
        </w:rPr>
        <w:t>The information furnished pursuant to this Item 7.01, including Exhibit 99.1, shall not be deemed to be “filed” for purposes of Section18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unless specifically identified therein as being incorporated therein by reference.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Item 9.01</w:t>
            </w:r>
          </w:p>
        </w:tc>
        <w:tc>
          <w:tcPr>
            <w:tcW w:w="1002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Financial Statement and Exhibits.</w:t>
            </w:r>
          </w:p>
        </w:tc>
      </w:tr>
      <w:tr>
        <w:trPr>
          <w:trHeight w:val="321"/>
        </w:trPr>
        <w:tc>
          <w:tcPr>
            <w:tcW w:w="1200" w:type="dxa"/>
            <w:vAlign w:val="bottom"/>
            <w:gridSpan w:val="3"/>
          </w:tcPr>
          <w:p>
            <w:pPr>
              <w:ind w:left="20"/>
              <w:spacing w:after="0"/>
              <w:rPr>
                <w:sz w:val="20"/>
                <w:szCs w:val="20"/>
                <w:color w:val="auto"/>
              </w:rPr>
            </w:pPr>
            <w:r>
              <w:rPr>
                <w:rFonts w:ascii="Arial" w:cs="Arial" w:eastAsia="Arial" w:hAnsi="Arial"/>
                <w:sz w:val="14"/>
                <w:szCs w:val="14"/>
                <w:color w:val="auto"/>
              </w:rPr>
              <w:t>(d) Exhibits.</w:t>
            </w:r>
          </w:p>
        </w:tc>
        <w:tc>
          <w:tcPr>
            <w:tcW w:w="56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560" w:type="dxa"/>
            <w:vAlign w:val="bottom"/>
          </w:tcPr>
          <w:p>
            <w:pPr>
              <w:spacing w:after="0"/>
              <w:rPr>
                <w:sz w:val="24"/>
                <w:szCs w:val="24"/>
                <w:color w:val="auto"/>
              </w:rPr>
            </w:pPr>
          </w:p>
        </w:tc>
        <w:tc>
          <w:tcPr>
            <w:tcW w:w="9460" w:type="dxa"/>
            <w:vAlign w:val="bottom"/>
            <w:gridSpan w:val="3"/>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150"/>
        </w:trPr>
        <w:tc>
          <w:tcPr>
            <w:tcW w:w="20" w:type="dxa"/>
            <w:vAlign w:val="bottom"/>
          </w:tcPr>
          <w:p>
            <w:pPr>
              <w:spacing w:after="0"/>
              <w:rPr>
                <w:sz w:val="13"/>
                <w:szCs w:val="13"/>
                <w:color w:val="auto"/>
              </w:rPr>
            </w:pPr>
          </w:p>
        </w:tc>
        <w:tc>
          <w:tcPr>
            <w:tcW w:w="108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10000" w:type="dxa"/>
            <w:vAlign w:val="bottom"/>
            <w:tcBorders>
              <w:top w:val="single" w:sz="8" w:color="auto"/>
              <w:bottom w:val="single" w:sz="8" w:color="0000FF"/>
            </w:tcBorders>
            <w:gridSpan w:val="3"/>
          </w:tcPr>
          <w:p>
            <w:pPr>
              <w:spacing w:after="0" w:line="150" w:lineRule="exact"/>
              <w:rPr>
                <w:rFonts w:ascii="Arial" w:cs="Arial" w:eastAsia="Arial" w:hAnsi="Arial"/>
                <w:sz w:val="14"/>
                <w:szCs w:val="14"/>
                <w:color w:val="0000FF"/>
              </w:rPr>
            </w:pPr>
            <w:hyperlink r:id="rId9">
              <w:r>
                <w:rPr>
                  <w:rFonts w:ascii="Arial" w:cs="Arial" w:eastAsia="Arial" w:hAnsi="Arial"/>
                  <w:sz w:val="14"/>
                  <w:szCs w:val="14"/>
                  <w:color w:val="0000FF"/>
                </w:rPr>
                <w:t>Merger Agreement among Apogee Enterprises, Inc., Keller Companies, Inc., Robert Keller Family Trust (2007), Bruce M. Keller 2012 Irrevocable Trust, Richard</w:t>
              </w:r>
            </w:hyperlink>
          </w:p>
        </w:tc>
        <w:tc>
          <w:tcPr>
            <w:tcW w:w="20" w:type="dxa"/>
            <w:vAlign w:val="bottom"/>
            <w:tcBorders>
              <w:top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20" w:type="dxa"/>
            <w:vAlign w:val="bottom"/>
            <w:gridSpan w:val="4"/>
          </w:tcPr>
          <w:p>
            <w:pPr>
              <w:spacing w:after="0" w:line="150" w:lineRule="exact"/>
              <w:rPr>
                <w:rFonts w:ascii="Arial" w:cs="Arial" w:eastAsia="Arial" w:hAnsi="Arial"/>
                <w:sz w:val="14"/>
                <w:szCs w:val="14"/>
                <w:color w:val="0000FF"/>
              </w:rPr>
            </w:pPr>
            <w:hyperlink r:id="rId9">
              <w:r>
                <w:rPr>
                  <w:rFonts w:ascii="Arial" w:cs="Arial" w:eastAsia="Arial" w:hAnsi="Arial"/>
                  <w:sz w:val="14"/>
                  <w:szCs w:val="14"/>
                  <w:color w:val="0000FF"/>
                </w:rPr>
                <w:t>R. Keller 2012 Irrevocable Trust, Arch 2012 Irrevocable Trust, Scott F. Keller 2012 Irrevocable Trust, and the Representative named therein, dated as of May</w:t>
              </w:r>
            </w:hyperlink>
          </w:p>
        </w:tc>
      </w:tr>
      <w:tr>
        <w:trPr>
          <w:trHeight w:val="15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0" w:lineRule="exact"/>
              <w:rPr>
                <w:rFonts w:ascii="Arial" w:cs="Arial" w:eastAsia="Arial" w:hAnsi="Arial"/>
                <w:sz w:val="14"/>
                <w:szCs w:val="14"/>
                <w:color w:val="0000FF"/>
                <w:w w:val="99"/>
              </w:rPr>
            </w:pPr>
            <w:hyperlink r:id="rId9">
              <w:r>
                <w:rPr>
                  <w:rFonts w:ascii="Arial" w:cs="Arial" w:eastAsia="Arial" w:hAnsi="Arial"/>
                  <w:sz w:val="14"/>
                  <w:szCs w:val="14"/>
                  <w:color w:val="0000FF"/>
                  <w:w w:val="99"/>
                </w:rPr>
                <w:t>27, 2026</w:t>
              </w:r>
            </w:hyperlink>
          </w:p>
        </w:tc>
        <w:tc>
          <w:tcPr>
            <w:tcW w:w="9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8"/>
                <w:szCs w:val="18"/>
                <w:color w:val="auto"/>
              </w:rPr>
            </w:pPr>
          </w:p>
        </w:tc>
        <w:tc>
          <w:tcPr>
            <w:tcW w:w="10020" w:type="dxa"/>
            <w:vAlign w:val="bottom"/>
            <w:gridSpan w:val="4"/>
          </w:tcPr>
          <w:p>
            <w:pPr>
              <w:spacing w:after="0"/>
              <w:rPr>
                <w:sz w:val="20"/>
                <w:szCs w:val="20"/>
                <w:color w:val="auto"/>
              </w:rPr>
            </w:pPr>
            <w:r>
              <w:rPr>
                <w:rFonts w:ascii="Arial" w:cs="Arial" w:eastAsia="Arial" w:hAnsi="Arial"/>
                <w:sz w:val="14"/>
                <w:szCs w:val="14"/>
                <w:color w:val="auto"/>
              </w:rPr>
              <w:t>Press Release dated July 1, 2026</w:t>
            </w:r>
          </w:p>
        </w:tc>
      </w:tr>
      <w:tr>
        <w:trPr>
          <w:trHeight w:val="186"/>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0020" w:type="dxa"/>
            <w:vAlign w:val="bottom"/>
            <w:gridSpan w:val="4"/>
          </w:tcPr>
          <w:p>
            <w:pPr>
              <w:spacing w:after="0"/>
              <w:rPr>
                <w:sz w:val="20"/>
                <w:szCs w:val="20"/>
                <w:color w:val="auto"/>
              </w:rPr>
            </w:pPr>
            <w:r>
              <w:rPr>
                <w:rFonts w:ascii="Arial" w:cs="Arial" w:eastAsia="Arial" w:hAnsi="Arial"/>
                <w:sz w:val="14"/>
                <w:szCs w:val="14"/>
                <w:color w:val="auto"/>
              </w:rPr>
              <w:t>Cover page interactive data file (formatted in inline XBRL).</w:t>
            </w:r>
          </w:p>
        </w:tc>
      </w:tr>
    </w:tbl>
    <w:p>
      <w:pPr>
        <w:jc w:val="both"/>
        <w:ind w:left="20" w:right="80" w:firstLine="9"/>
        <w:spacing w:after="0" w:line="231" w:lineRule="auto"/>
        <w:tabs>
          <w:tab w:leader="none" w:pos="117"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filing excludes certain schedules and exhibits pursuant to Item 601(a)(5) of Regulation S-K, which the registrant agrees to furnish supplementally to the U.S. Securities and Exchange Commission upon request by the Commission provided, however, that the registrant may request confidential treatment pursuant to Rule 24b-2 of the Securities Exchange Act of 1934, as amended, for any schedules or exhibits so furnished.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756920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75" w:right="319" w:bottom="1440" w:gutter="0" w:footer="0" w:header="0"/>
        </w:sectPr>
      </w:pPr>
    </w:p>
    <w:bookmarkStart w:id="2" w:name="page3"/>
    <w:bookmarkEnd w:id="2"/>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67"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APOGEE ENTERPRISES, INC.</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By: /s/ Bryan A. Welp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6350</wp:posOffset>
            </wp:positionV>
            <wp:extent cx="37928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79285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Bryan A. Welp</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Vice President, General Counsel and Secretary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July 1, 2026</w:t>
      </w:r>
    </w:p>
    <w:p>
      <w:pPr>
        <w:sectPr>
          <w:pgSz w:w="11900" w:h="16838" w:orient="portrait"/>
          <w:cols w:equalWidth="0" w:num="1">
            <w:col w:w="11240"/>
          </w:cols>
          <w:pgMar w:left="340" w:top="1143"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s://www.sec.gov/ix?doc=/Archives/edgar/data/6845/000000684526000044/apog-20260527_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2026-07-01T16:07:28Z</dcterms:created>
  <dcterms:modified xsi:type="dcterms:W3CDTF">2026-07-01T16:07:28Z</dcterms:modified>
</cp:coreProperties>
</file>