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5262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6288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2"/>
            <w:vMerge w:val="restart"/>
          </w:tcPr>
          <w:p>
            <w:pPr>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POMPA MARK A</w:t>
              </w:r>
            </w:hyperlink>
          </w:p>
        </w:tc>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APOGEE ENTERPRISES,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APOG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2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4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0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20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2060" w:type="dxa"/>
            <w:vAlign w:val="bottom"/>
            <w:vMerge w:val="restart"/>
          </w:tcPr>
          <w:p>
            <w:pPr>
              <w:ind w:left="8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2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10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APOGEE ENTERPRISES, INC.</w:t>
            </w:r>
          </w:p>
        </w:tc>
        <w:tc>
          <w:tcPr>
            <w:tcW w:w="290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4400 WEST 78TH STREET, SUITE 520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55435</w:t>
            </w: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right"/>
              <w:ind w:right="21"/>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right"/>
              <w:ind w:right="21"/>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jc w:val="right"/>
              <w:ind w:right="121"/>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jc w:val="right"/>
              <w:ind w:right="121"/>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0000FF"/>
              </w:rPr>
              <w:t>60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jc w:val="right"/>
              <w:ind w:right="199"/>
              <w:spacing w:after="0" w:line="143"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jc w:val="right"/>
              <w:ind w:right="400"/>
              <w:spacing w:after="0" w:line="143" w:lineRule="exact"/>
              <w:rPr>
                <w:sz w:val="20"/>
                <w:szCs w:val="20"/>
                <w:color w:val="auto"/>
              </w:rPr>
            </w:pPr>
            <w:r>
              <w:rPr>
                <w:rFonts w:ascii="Times New Roman" w:cs="Times New Roman" w:eastAsia="Times New Roman" w:hAnsi="Times New Roman"/>
                <w:sz w:val="13"/>
                <w:szCs w:val="13"/>
                <w:color w:val="0000FF"/>
              </w:rPr>
              <w:t>60</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1"/>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45.74</w:t>
            </w:r>
          </w:p>
        </w:tc>
        <w:tc>
          <w:tcPr>
            <w:tcW w:w="94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10,135</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line="235"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jc w:val="right"/>
              <w:ind w:right="199"/>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2"/>
                <w:szCs w:val="12"/>
                <w:color w:val="auto"/>
              </w:rPr>
            </w:pPr>
          </w:p>
        </w:tc>
        <w:tc>
          <w:tcPr>
            <w:tcW w:w="800" w:type="dxa"/>
            <w:vAlign w:val="bottom"/>
            <w:vMerge w:val="restart"/>
          </w:tcPr>
          <w:p>
            <w:pPr>
              <w:ind w:left="100"/>
              <w:spacing w:after="0" w:line="294" w:lineRule="exact"/>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(5)</w:t>
            </w:r>
          </w:p>
        </w:tc>
        <w:tc>
          <w:tcPr>
            <w:tcW w:w="720" w:type="dxa"/>
            <w:vAlign w:val="bottom"/>
            <w:vMerge w:val="restart"/>
          </w:tcPr>
          <w:p>
            <w:pPr>
              <w:jc w:val="right"/>
              <w:ind w:right="380"/>
              <w:spacing w:after="0"/>
              <w:rPr>
                <w:sz w:val="20"/>
                <w:szCs w:val="20"/>
                <w:color w:val="auto"/>
              </w:rPr>
            </w:pPr>
            <w:r>
              <w:rPr>
                <w:rFonts w:ascii="Times New Roman" w:cs="Times New Roman" w:eastAsia="Times New Roman" w:hAnsi="Times New Roman"/>
                <w:sz w:val="13"/>
                <w:szCs w:val="13"/>
                <w:color w:val="0000FF"/>
              </w:rPr>
              <w:t>147</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0000FF"/>
              </w:rPr>
              <w:t>147</w:t>
            </w:r>
          </w:p>
        </w:tc>
        <w:tc>
          <w:tcPr>
            <w:tcW w:w="700" w:type="dxa"/>
            <w:vAlign w:val="bottom"/>
            <w:vMerge w:val="restart"/>
          </w:tcPr>
          <w:p>
            <w:pPr>
              <w:jc w:val="right"/>
              <w:ind w:right="10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45.74</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27,728</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(4)</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4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allocated under the Deferred Compensation Plan for Non-Employee Directors. The phantom stock units will be settled in shares of common stock following the director's termination from the Board in accordance with the election of the reporting person, or following the occurance of other events specified in the Plan.</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Settled 1-for-1.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phantom stock units acquired pursuant to a dividend equivalent reinvestment feature of the Deferred Compensation Plan for Non-Employee Directors.</w:t>
      </w:r>
    </w:p>
    <w:p>
      <w:pPr>
        <w:spacing w:after="0" w:line="45" w:lineRule="exact"/>
        <w:rPr>
          <w:rFonts w:ascii="Times New Roman" w:cs="Times New Roman" w:eastAsia="Times New Roman" w:hAnsi="Times New Roman"/>
          <w:sz w:val="13"/>
          <w:szCs w:val="13"/>
          <w:color w:val="008000"/>
        </w:rPr>
      </w:pPr>
    </w:p>
    <w:p>
      <w:pPr>
        <w:jc w:val="both"/>
        <w:ind w:left="40" w:right="2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restricted stock units were allocated under the 2009 Non-Employee Director Stock Incentive Plan and the 2019 Non-Employee Director Stock Plan. The deferred restricted stock units will be settled in shares of common stock following the director's termination from the Board in accordance with the election of the reporting person, or following the occurance of other events specified in the Plan.</w:t>
      </w:r>
    </w:p>
    <w:p>
      <w:pPr>
        <w:spacing w:after="0" w:line="14" w:lineRule="exact"/>
        <w:rPr>
          <w:rFonts w:ascii="Times New Roman" w:cs="Times New Roman" w:eastAsia="Times New Roman" w:hAnsi="Times New Roman"/>
          <w:sz w:val="13"/>
          <w:szCs w:val="13"/>
          <w:color w:val="008000"/>
        </w:rPr>
      </w:pPr>
    </w:p>
    <w:p>
      <w:pPr>
        <w:ind w:left="40" w:right="3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deferred restricted stock units acquired pursuant to a dividend equivalent reinvestment feature of the 2009 Non-Employee Director Stock Incentive Plan and the 2019 Non-Employee Director Stock Plan.</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/s/Bryan A. Welp, Attorney-in- </w:t>
      </w:r>
      <w:r>
        <w:rPr>
          <w:rFonts w:ascii="Times New Roman" w:cs="Times New Roman" w:eastAsia="Times New Roman" w:hAnsi="Times New Roman"/>
          <w:sz w:val="33"/>
          <w:szCs w:val="33"/>
          <w:color w:val="0000FF"/>
          <w:vertAlign w:val="subscript"/>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Mark A. Pompa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0547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47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5540" TargetMode="External"/><Relationship Id="rId14" Type="http://schemas.openxmlformats.org/officeDocument/2006/relationships/hyperlink" Target="http://www.sec.gov/cgi-bin/browse-edgar?action=getcompany&amp;CIK=00000068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2026-07-02T11:22:00Z</dcterms:created>
  <dcterms:modified xsi:type="dcterms:W3CDTF">2026-07-02T11:22:00Z</dcterms:modified>
</cp:coreProperties>
</file>