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1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17"/>
          <w:szCs w:val="17"/>
          <w:color w:val="auto"/>
        </w:rPr>
        <w:t>June 26, 2026</w:t>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1440" w:type="dxa"/>
            <w:vAlign w:val="bottom"/>
          </w:tcPr>
          <w:p>
            <w:pPr>
              <w:spacing w:after="0"/>
              <w:rPr>
                <w:sz w:val="20"/>
                <w:szCs w:val="20"/>
                <w:color w:val="auto"/>
              </w:rPr>
            </w:pPr>
          </w:p>
        </w:tc>
        <w:tc>
          <w:tcPr>
            <w:tcW w:w="208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0-6365</w:t>
            </w:r>
          </w:p>
        </w:tc>
        <w:tc>
          <w:tcPr>
            <w:tcW w:w="200" w:type="dxa"/>
            <w:vAlign w:val="bottom"/>
          </w:tcPr>
          <w:p>
            <w:pPr>
              <w:spacing w:after="0"/>
              <w:rPr>
                <w:sz w:val="20"/>
                <w:szCs w:val="20"/>
                <w:color w:val="auto"/>
              </w:rPr>
            </w:pPr>
          </w:p>
        </w:tc>
        <w:tc>
          <w:tcPr>
            <w:tcW w:w="36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41-0919654</w:t>
            </w:r>
          </w:p>
        </w:tc>
      </w:tr>
      <w:tr>
        <w:trPr>
          <w:trHeight w:val="182"/>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00" w:type="dxa"/>
            <w:vAlign w:val="bottom"/>
          </w:tcPr>
          <w:p>
            <w:pPr>
              <w:spacing w:after="0"/>
              <w:rPr>
                <w:sz w:val="15"/>
                <w:szCs w:val="15"/>
                <w:color w:val="auto"/>
              </w:rPr>
            </w:pPr>
          </w:p>
        </w:tc>
        <w:tc>
          <w:tcPr>
            <w:tcW w:w="3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0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38"/>
        </w:trPr>
        <w:tc>
          <w:tcPr>
            <w:tcW w:w="3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4400 West 78th Street, Suite 520</w:t>
            </w:r>
          </w:p>
        </w:tc>
        <w:tc>
          <w:tcPr>
            <w:tcW w:w="1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Minneapolis</w:t>
            </w:r>
          </w:p>
        </w:tc>
        <w:tc>
          <w:tcPr>
            <w:tcW w:w="22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362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55435</w:t>
            </w:r>
          </w:p>
        </w:tc>
      </w:tr>
      <w:tr>
        <w:trPr>
          <w:trHeight w:val="182"/>
        </w:trPr>
        <w:tc>
          <w:tcPr>
            <w:tcW w:w="5340" w:type="dxa"/>
            <w:vAlign w:val="bottom"/>
            <w:tcBorders>
              <w:top w:val="single" w:sz="8" w:color="auto"/>
            </w:tcBorders>
            <w:gridSpan w:val="3"/>
          </w:tcPr>
          <w:p>
            <w:pPr>
              <w:ind w:left="25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835-1874</w:t>
      </w:r>
    </w:p>
    <w:p>
      <w:pPr>
        <w:spacing w:after="0" w:line="200" w:lineRule="exact"/>
        <w:rPr>
          <w:sz w:val="24"/>
          <w:szCs w:val="24"/>
          <w:color w:val="auto"/>
        </w:rPr>
      </w:pPr>
    </w:p>
    <w:p>
      <w:pPr>
        <w:spacing w:after="0" w:line="21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4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$0.33 1/3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APOG</w:t>
            </w:r>
          </w:p>
        </w:tc>
        <w:tc>
          <w:tcPr>
            <w:tcW w:w="10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8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2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17"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June 26, 2026, Apogee Enterprises, Inc. issued a press release announcing its financial results for the first quarter of fiscal 2027. A copy of this press release is attached hereto as Exhibit 99.1 and incorporated herein by reference.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furnished in Item 2.02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and shall not be deemed to be incorporated by reference into any registration statement or other document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Securities Act of 1933, as amended.</w:t>
      </w:r>
    </w:p>
    <w:p>
      <w:pPr>
        <w:spacing w:after="0" w:line="30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5" w:lineRule="exact"/>
        <w:rPr>
          <w:sz w:val="20"/>
          <w:szCs w:val="20"/>
          <w:color w:val="auto"/>
        </w:rPr>
      </w:pPr>
    </w:p>
    <w:p>
      <w:pPr>
        <w:ind w:left="46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1" w:lineRule="exact"/>
        <w:rPr>
          <w:sz w:val="20"/>
          <w:szCs w:val="20"/>
          <w:color w:val="auto"/>
        </w:rPr>
      </w:pPr>
    </w:p>
    <w:p>
      <w:pPr>
        <w:ind w:left="1560"/>
        <w:spacing w:after="0"/>
        <w:tabs>
          <w:tab w:leader="none" w:pos="2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Apogee Enterprises, Inc. dated June 26, 2026</w:t>
      </w:r>
    </w:p>
    <w:p>
      <w:pPr>
        <w:spacing w:after="0" w:line="27"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Mark R. Augdahl</w:t>
      </w:r>
    </w:p>
    <w:p>
      <w:pPr>
        <w:ind w:left="6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ectPr>
          <w:pgSz w:w="11900" w:h="16838" w:orient="portrait"/>
          <w:cols w:equalWidth="0" w:num="1">
            <w:col w:w="10280"/>
          </w:cols>
          <w:pgMar w:left="320" w:top="1143"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603375" cy="131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033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Press Release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RELEASE: June 26, 2026</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APOGEE ENTERPRISES REPORTS FISCAL 2027 FIRST QUARTER RESULTS</w:t>
      </w:r>
    </w:p>
    <w:p>
      <w:pPr>
        <w:spacing w:after="0" w:line="34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First-quarter net sales of $342.7 million</w:t>
      </w:r>
    </w:p>
    <w:p>
      <w:pPr>
        <w:spacing w:after="0" w:line="107"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First-quarter diluted EPS of $0.54 and adjusted diluted EPS of $0.57</w:t>
      </w:r>
    </w:p>
    <w:p>
      <w:pPr>
        <w:spacing w:after="0" w:line="107" w:lineRule="exact"/>
        <w:rPr>
          <w:rFonts w:ascii="Times New Roman" w:cs="Times New Roman" w:eastAsia="Times New Roman" w:hAnsi="Times New Roman"/>
          <w:sz w:val="20"/>
          <w:szCs w:val="20"/>
          <w:i w:val="1"/>
          <w:iCs w:val="1"/>
          <w:color w:val="auto"/>
        </w:rPr>
      </w:pPr>
    </w:p>
    <w:p>
      <w:pPr>
        <w:ind w:left="340" w:right="620" w:hanging="332"/>
        <w:spacing w:after="0" w:line="273" w:lineRule="auto"/>
        <w:tabs>
          <w:tab w:leader="none" w:pos="328"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Pending Kalwall acquisition on track for early July close, advancing strategy to expand into higher-growth differentiated product offerings</w:t>
      </w:r>
    </w:p>
    <w:p>
      <w:pPr>
        <w:spacing w:after="0" w:line="43" w:lineRule="exact"/>
        <w:rPr>
          <w:rFonts w:ascii="Times New Roman" w:cs="Times New Roman" w:eastAsia="Times New Roman" w:hAnsi="Times New Roman"/>
          <w:sz w:val="20"/>
          <w:szCs w:val="20"/>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Company reaffirms fiscal 2027 guidance</w:t>
      </w:r>
    </w:p>
    <w:p>
      <w:pPr>
        <w:spacing w:after="0" w:line="200" w:lineRule="exact"/>
        <w:rPr>
          <w:sz w:val="20"/>
          <w:szCs w:val="20"/>
          <w:color w:val="auto"/>
        </w:rPr>
      </w:pPr>
    </w:p>
    <w:p>
      <w:pPr>
        <w:spacing w:after="0" w:line="259"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20"/>
          <w:szCs w:val="20"/>
          <w:b w:val="1"/>
          <w:bCs w:val="1"/>
          <w:color w:val="auto"/>
        </w:rPr>
        <w:t>MINNEAPOLIS, MN, June 26, 2026 – Apogee Enterprises, Inc. (Nasdaq: APOG)</w:t>
      </w:r>
      <w:r>
        <w:rPr>
          <w:rFonts w:ascii="Times New Roman" w:cs="Times New Roman" w:eastAsia="Times New Roman" w:hAnsi="Times New Roman"/>
          <w:sz w:val="20"/>
          <w:szCs w:val="20"/>
          <w:color w:val="auto"/>
        </w:rPr>
        <w:t>, a leading provider of architectural building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services, as well as high-performance coated materials used in a variety of applications, today reported its results for the first quarter of fiscal 2027, ended May 30, 2026. The Company reported the following selected financial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40" w:type="dxa"/>
            <w:vAlign w:val="bottom"/>
          </w:tcPr>
          <w:p>
            <w:pPr>
              <w:spacing w:after="0"/>
              <w:rPr>
                <w:sz w:val="18"/>
                <w:szCs w:val="18"/>
                <w:color w:val="auto"/>
              </w:rPr>
            </w:pPr>
          </w:p>
        </w:tc>
      </w:tr>
      <w:tr>
        <w:trPr>
          <w:trHeight w:val="21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 in thousands, except per share amounts)</w:t>
            </w: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May 30, 2026</w:t>
            </w: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8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342,684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346,622</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6,931</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171.8%</w:t>
            </w: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529.1%</w:t>
            </w: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515.4%</w:t>
            </w:r>
          </w:p>
        </w:tc>
      </w:tr>
      <w:tr>
        <w:trPr>
          <w:trHeight w:val="230"/>
        </w:trPr>
        <w:tc>
          <w:tcPr>
            <w:tcW w:w="5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Non-GAAP Measures</w:t>
            </w:r>
            <w:r>
              <w:rPr>
                <w:rFonts w:ascii="Times New Roman" w:cs="Times New Roman" w:eastAsia="Times New Roman" w:hAnsi="Times New Roman"/>
                <w:sz w:val="23"/>
                <w:szCs w:val="23"/>
                <w:b w:val="1"/>
                <w:bCs w:val="1"/>
                <w:color w:val="auto"/>
                <w:vertAlign w:val="superscript"/>
              </w:rPr>
              <w:t>1</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34,384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r>
    </w:tbl>
    <w:p>
      <w:pPr>
        <w:spacing w:after="0" w:line="261" w:lineRule="exact"/>
        <w:rPr>
          <w:sz w:val="20"/>
          <w:szCs w:val="20"/>
          <w:color w:val="auto"/>
        </w:rPr>
      </w:pPr>
    </w:p>
    <w:p>
      <w:pPr>
        <w:ind w:left="480" w:hanging="326"/>
        <w:spacing w:after="0" w:line="187" w:lineRule="auto"/>
        <w:tabs>
          <w:tab w:leader="none" w:pos="480"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Earnings before interest, taxes, depreciation and amortization (EBITDA), EBITDA margin, adjusted EBITDA, adjusted EBITDA margin, and adjusted diluted earnings per share (EPS) are non-GAAP financial measures. See Use of Non-GAAP Financial Measures and reconciliations to the most directly comparable GAAP measures later in this press release.</w:t>
      </w:r>
    </w:p>
    <w:p>
      <w:pPr>
        <w:spacing w:after="0" w:line="20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0"/>
          <w:szCs w:val="20"/>
          <w:color w:val="auto"/>
        </w:rPr>
        <w:t>“Our results for the quarter reflect solid execution as our team effectively navigated a dynamic operating environment,” said Donald Nolan, Executive Chair and CEO. “We continued to advance our strategic priorities while maintaining strong operational performance across the business. We also maintained a disciplined capital allocation approach, returning cash to shareholders through dividends and share repurchases. In parallel, we are progressing integration planning for the pending Kalwall acquisition, which we expect to support our long-term growth strategy following its anticipated early July closing.”</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1"/>
          <w:szCs w:val="21"/>
          <w:b w:val="1"/>
          <w:bCs w:val="1"/>
          <w:color w:val="auto"/>
        </w:rPr>
        <w:t>-Quarter Consolidated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Quarter Fiscal 2027 compared to First Quarter Fiscal 2026)</w:t>
      </w:r>
    </w:p>
    <w:p>
      <w:pPr>
        <w:spacing w:after="0" w:line="132" w:lineRule="exact"/>
        <w:rPr>
          <w:sz w:val="20"/>
          <w:szCs w:val="20"/>
          <w:color w:val="auto"/>
        </w:rPr>
      </w:pPr>
    </w:p>
    <w:p>
      <w:pPr>
        <w:ind w:left="660" w:right="540" w:hanging="328"/>
        <w:spacing w:after="0" w:line="24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Net sales decreased 1.1% to $342.7 million, driven by lower volume, partially offset by favorable pricing as we pass on higher material and freight costs and mix.</w:t>
      </w:r>
    </w:p>
    <w:p>
      <w:pPr>
        <w:spacing w:after="0" w:line="60" w:lineRule="exact"/>
        <w:rPr>
          <w:rFonts w:ascii="Arial" w:cs="Arial" w:eastAsia="Arial" w:hAnsi="Arial"/>
          <w:sz w:val="22"/>
          <w:szCs w:val="22"/>
          <w:color w:val="auto"/>
        </w:rPr>
      </w:pPr>
    </w:p>
    <w:p>
      <w:pPr>
        <w:ind w:left="660" w:right="56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rose 20 basis points to 21.9%, primarily due to price, productivity improvements including savings from Project Fortify 2, and favorable mix, partially offset by higher material and freight costs and impacts from lower volume.</w:t>
      </w:r>
    </w:p>
    <w:p>
      <w:pPr>
        <w:spacing w:after="0" w:line="37"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general and administrative (SG&amp;A) expenses as a percentage of net sales decreased 330 basis points to 16.4%, primarily due to benefits from cost savings of Fortify Phase 2.</w:t>
      </w:r>
    </w:p>
    <w:p>
      <w:pPr>
        <w:spacing w:after="0" w:line="3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increased to $18.8 million from $6.9 million, and operating margin increased 350 basis points to 5.5%.</w:t>
      </w:r>
    </w:p>
    <w:p>
      <w:pPr>
        <w:spacing w:after="0" w:line="94" w:lineRule="exact"/>
        <w:rPr>
          <w:rFonts w:ascii="Times New Roman" w:cs="Times New Roman" w:eastAsia="Times New Roman" w:hAnsi="Times New Roman"/>
          <w:sz w:val="20"/>
          <w:szCs w:val="20"/>
          <w:color w:val="auto"/>
        </w:rPr>
      </w:pPr>
    </w:p>
    <w:p>
      <w:pPr>
        <w:ind w:left="660" w:right="480" w:hanging="328"/>
        <w:spacing w:after="0" w:line="266" w:lineRule="auto"/>
        <w:tabs>
          <w:tab w:leader="none" w:pos="64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decreased to $32.1 million, compared to $34.4 million, and adjusted EBITDA margin decreased to 9.4%, compared to 9.9%. The decrease in adjusted EBITDA margin was primarily driven by higher material and freight costs and the impacts from lower volume, partially offset by productivity improvements and benefits from cost savings of Fortify Phase 2.</w:t>
      </w:r>
    </w:p>
    <w:p>
      <w:pPr>
        <w:spacing w:after="0" w:line="56"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decreased to $2.8 million, compared to $3.8 million, primarily due to lower average debt balance.</w:t>
      </w:r>
    </w:p>
    <w:p>
      <w:pPr>
        <w:spacing w:after="0" w:line="107" w:lineRule="exact"/>
        <w:rPr>
          <w:rFonts w:ascii="Times New Roman" w:cs="Times New Roman" w:eastAsia="Times New Roman" w:hAnsi="Times New Roman"/>
          <w:sz w:val="20"/>
          <w:szCs w:val="20"/>
          <w:color w:val="auto"/>
        </w:rPr>
      </w:pPr>
    </w:p>
    <w:p>
      <w:pPr>
        <w:ind w:left="660" w:right="280" w:hanging="328"/>
        <w:spacing w:after="0" w:line="24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Diluted earnings per share (EPS) were $0.54, compared to a diluted loss per share of $0.13, and adjusted diluted EPS increased to $0.57, compared to $0.56.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First </w:t>
      </w:r>
      <w:r>
        <w:rPr>
          <w:rFonts w:ascii="Times New Roman" w:cs="Times New Roman" w:eastAsia="Times New Roman" w:hAnsi="Times New Roman"/>
          <w:sz w:val="21"/>
          <w:szCs w:val="21"/>
          <w:b w:val="1"/>
          <w:bCs w:val="1"/>
          <w:color w:val="auto"/>
        </w:rPr>
        <w:t>Quarter Segment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Quarter Fiscal 2027 Compared to First Quarter Fiscal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 Metals</w:t>
      </w:r>
    </w:p>
    <w:p>
      <w:pPr>
        <w:spacing w:after="0" w:line="10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Net sales declined 4.8% to $122.4 million, driven by lower volume, partially offset by favorable price and product mix. Adjusted EBITDA was $13.7 million, or 11.2% of net sales, compared to $9.4 million, or 7.3% of net sales. The higher adjusted EBITDA margin was primarily driven by favorable mix and improved productivity and cost savings from Fortify Phase 2, partially offset by the impact from lower volume and the net impact from higher aluminum costs.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 Services</w:t>
      </w:r>
    </w:p>
    <w:p>
      <w:pPr>
        <w:spacing w:after="0" w:line="10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Net sales increased 8.2% to $115.2 million, primarily due to increased volume. Adjusted EBITDA was $6.1 million, or 5.3% of net sales, compared to $6.1 million, or 5.7% of net sales. The slight decrease in adjusted EBITDA margin was primarily driven by project mix, mostly offset by benefits from actions of Project Fortify 2 to reduce the impact of tariffs and the impact from increased volume. Segment backlog</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at the end of the quarter was $734.5 million compared to $682.9 million at the end of fiscal year 2026.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 Glass</w:t>
      </w:r>
    </w:p>
    <w:p>
      <w:pPr>
        <w:spacing w:after="0" w:line="10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Net sales declined 7.6% to $67.7 million, driven by lower price and volume, partially offset by favorable mix. Adjusted EBITDA was $5.9 million, or 8.7% of net sales, compared to $13.4 million, or 18.3% of net sales. The decrease in adjusted EBITDA margin was primarily driven by the impact of lower price, volume, and inflation of material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Surfaces</w:t>
      </w:r>
    </w:p>
    <w:p>
      <w:pPr>
        <w:spacing w:after="0" w:line="1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Net sales increased 4.9% to $44.3 million due to increased volume and favorable price. Adjusted EBITDA was $6.6 million, or 14.8% of net sales compared to $8.0 million, or 18.8% of net sales. The decrease in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8"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Backlog is a non-GAAP financial measure. See Use of Non-GAAP Financial Measures later in this press release for more information.</w:t>
      </w: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40" w:lineRule="exact"/>
        <w:rPr>
          <w:rFonts w:ascii="Times New Roman" w:cs="Times New Roman" w:eastAsia="Times New Roman" w:hAnsi="Times New Roman"/>
          <w:sz w:val="26"/>
          <w:szCs w:val="26"/>
          <w:color w:val="auto"/>
          <w:vertAlign w:val="superscript"/>
        </w:rPr>
      </w:pPr>
    </w:p>
    <w:p>
      <w:pPr>
        <w:ind w:left="200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EBITDA margin was primarily driven by the net impact of higher material and freight costs, partially offset by productivity.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and Other</w:t>
      </w:r>
    </w:p>
    <w:p>
      <w:pPr>
        <w:spacing w:after="0" w:line="120"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20"/>
          <w:szCs w:val="20"/>
          <w:color w:val="auto"/>
        </w:rPr>
        <w:t>Corporate and other adjusted EBITDA was an expense of $0.2 million, compared to $2.4 million in the prior year, primarily due to an insurance-related benefit.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w:t>
      </w:r>
    </w:p>
    <w:p>
      <w:pPr>
        <w:spacing w:after="0" w:line="1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Net cash provided by operating activities in the first quarter was $7.4 million, compared to $19.8 million net cash used by operating activities in the prior year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returned $15.3 million of cash to shareholders, through $9.7 million of share repurchases and $5.6 million of dividends.</w:t>
      </w:r>
    </w:p>
    <w:p>
      <w:pPr>
        <w:spacing w:after="0" w:line="94"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20"/>
          <w:szCs w:val="20"/>
          <w:color w:val="auto"/>
        </w:rPr>
        <w:t>Quarter-end long-term debt slightly increased to $237.4 million, bringing the Consolidated Leverage Ratio</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(as defined in the Company’s credit agreement) to 1.3x at the end of the quarter.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2027 Outlook</w:t>
      </w:r>
    </w:p>
    <w:p>
      <w:pPr>
        <w:spacing w:after="0" w:line="12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0"/>
          <w:szCs w:val="20"/>
          <w:color w:val="auto"/>
        </w:rPr>
        <w:t>Based on current macroeconomic conditions and excluding any impacts from the pending Kalwall acquisition, the Company continues to expect net sales to be in the range of $1.38 billion to $1.43 billion and adjusted diluted EPS in the range of $2.70 to $3.25. The Company’s outlook also continues to assume interest expense of approximately $10 million, an adjusted effective tax rate of 26% to 27%, and capital expenditures between $35 million and $40 million.</w:t>
      </w:r>
    </w:p>
    <w:p>
      <w:pPr>
        <w:spacing w:after="0" w:line="69"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Assuming the pending Kalwall acquisition closes in early July, the Company expects net sales in the range of $1.43 billion to $1.48 billion. While the acquisition is expected to be accretive to adjusted diluted EPS, it is not expected to materially change the Company’s fiscal 2027 adjusted diluted EPS outlook of $2.70 to $3.25. The Company also expects interest expense to be approximately $14 million, an adjusted effective tax rate of 26% to 27%, and capital expenditures between $35 million and $40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107"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20"/>
          <w:szCs w:val="20"/>
          <w:color w:val="auto"/>
        </w:rPr>
        <w:t xml:space="preserve">The Company will host a conference call today at 8:00 a.m. Central Time to discuss this earnings release. This call will be webcast and is available in the Investor Relations section of the Company’s website, along with presentation slides, at </w:t>
      </w:r>
      <w:r>
        <w:rPr>
          <w:rFonts w:ascii="Times New Roman" w:cs="Times New Roman" w:eastAsia="Times New Roman" w:hAnsi="Times New Roman"/>
          <w:sz w:val="20"/>
          <w:szCs w:val="20"/>
          <w:u w:val="single" w:color="auto"/>
          <w:color w:val="0E32E1"/>
        </w:rPr>
        <w:t>https://www.apog.com/events-and-presentations</w:t>
      </w:r>
      <w:r>
        <w:rPr>
          <w:rFonts w:ascii="Times New Roman" w:cs="Times New Roman" w:eastAsia="Times New Roman" w:hAnsi="Times New Roman"/>
          <w:sz w:val="20"/>
          <w:szCs w:val="20"/>
          <w:color w:val="000000"/>
        </w:rPr>
        <w:t>. A replay and transcript of the webcast will be available on the Company’s website following the conference call.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Apogee Enterprises</w:t>
      </w:r>
    </w:p>
    <w:p>
      <w:pPr>
        <w:spacing w:after="0" w:line="10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Apogee Enterprises, Inc. (Nasdaq: APOG) is a leading provider of architectural building products and services, as well as high-performance coated materials used in a variety of applications. Headquartered in Minneapolis, MN, our portfolio of industry-leading products and services includes architectural glass, windows, curtainwall, storefront and entrance systems, integrated project management and installation services, and high-performance coatings that provide protection, innovative design, and enhanced performance. For more information, visit</w:t>
      </w:r>
    </w:p>
    <w:p>
      <w:pPr>
        <w:spacing w:after="0"/>
        <w:rPr>
          <w:sz w:val="20"/>
          <w:szCs w:val="20"/>
          <w:color w:val="auto"/>
        </w:rPr>
      </w:pPr>
      <w:r>
        <w:rPr>
          <w:rFonts w:ascii="Times New Roman" w:cs="Times New Roman" w:eastAsia="Times New Roman" w:hAnsi="Times New Roman"/>
          <w:sz w:val="22"/>
          <w:szCs w:val="22"/>
          <w:u w:val="single" w:color="auto"/>
          <w:color w:val="auto"/>
        </w:rPr>
        <w:t>www.apog.com</w:t>
      </w:r>
      <w:r>
        <w:rPr>
          <w:rFonts w:ascii="Times New Roman" w:cs="Times New Roman" w:eastAsia="Times New Roman" w:hAnsi="Times New Roman"/>
          <w:sz w:val="19"/>
          <w:szCs w:val="19"/>
          <w:color w:val="auto"/>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Measures</w:t>
      </w:r>
    </w:p>
    <w:p>
      <w:pPr>
        <w:spacing w:after="0" w:line="1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Management uses non-GAAP measures to evaluate the Company’s historical and prospective financial performance, measure operational profitability on a consistent basis, as a factor in determining executive compensation, and to provide enhanced transparency to the investment community. Non-GAAP measures should be viewed in addition to, and not as a substitute for, the reported financial results of the Company prepared in accordance with GAAP. Other companies may calculate these measures differently, limiting the usefulness of the measures for comparison with other companies. This release and other financial communications may contain the following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57"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Consolidated Leverage Ratio is a non-GAAP financial measure. See Use of Non-GAAP Financial Measures later in this press release for more information.</w:t>
      </w: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40" w:lineRule="exact"/>
        <w:rPr>
          <w:rFonts w:ascii="Times New Roman" w:cs="Times New Roman" w:eastAsia="Times New Roman" w:hAnsi="Times New Roman"/>
          <w:sz w:val="26"/>
          <w:szCs w:val="26"/>
          <w:color w:val="auto"/>
          <w:vertAlign w:val="superscript"/>
        </w:rPr>
      </w:pPr>
    </w:p>
    <w:p>
      <w:pPr>
        <w:ind w:left="200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380" w:lineRule="exact"/>
        <w:rPr>
          <w:sz w:val="20"/>
          <w:szCs w:val="20"/>
          <w:color w:val="auto"/>
        </w:rPr>
      </w:pPr>
    </w:p>
    <w:p>
      <w:pPr>
        <w:ind w:left="660" w:hanging="328"/>
        <w:spacing w:after="0" w:line="25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earnings and adjusted diluted EPS are used by the Company to provide meaningful supplemental information about its operating performance by excluding amounts that the Company does not consider to be part of core operating results, to enhance comparability of results from period to period. The Company is unable to provide a quantitative reconciliation of its forward-looking adjusted diluted EPS guidance to the most directly comparable GAAP measure without unreasonable effort because it cannot reliably predict the timing and magnitude of certain items, including acquisition-related costs, integration costs, restructuring-related items, and other discrete items that could materially affect GAAP results.</w:t>
      </w:r>
    </w:p>
    <w:p>
      <w:pPr>
        <w:spacing w:after="0" w:line="84" w:lineRule="exact"/>
        <w:rPr>
          <w:rFonts w:ascii="Times New Roman" w:cs="Times New Roman" w:eastAsia="Times New Roman" w:hAnsi="Times New Roman"/>
          <w:sz w:val="20"/>
          <w:szCs w:val="20"/>
          <w:color w:val="auto"/>
        </w:rPr>
      </w:pPr>
    </w:p>
    <w:p>
      <w:pPr>
        <w:ind w:left="660" w:hanging="328"/>
        <w:spacing w:after="0" w:line="254"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represents adjusted net earnings before interest, taxes, depreciation, and amortization. The Company uses adjusted EBITDA and adjusted EBITDA margin to assess segment performance and make decisions about the allocation of operating and capital resources by analyzing recent results, trends, and variances of each segment in relation to forecasts and historical performance.</w:t>
      </w:r>
    </w:p>
    <w:p>
      <w:pPr>
        <w:spacing w:after="0" w:line="79"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Leverage Ratio is calculated as Consolidated Funded Indebtedness minus Unrestricted Cash at the end of the current period, divided by Consolidated EBITDA. All capitalized and undefined terms used in this bullet and not otherwise defined herein are defined in the Company’s credit agreement dated July 19, 2024, which is included as an exhibit to the Company’s most recent Annual Report on form 10-K. The Company is unable to present a quantitative reconciliation of forward-looking expected Consolidated Leverage Ratio to its most directly comparable forward-looking GAAP financial measure without unreasonable effort because management cannot reliably predict all the necessary components of that GAAP measure. In addition, the Company believes such reconciliation could imply a degree of precision that would be confusing or misleading to investors.</w:t>
      </w:r>
    </w:p>
    <w:p>
      <w:pPr>
        <w:spacing w:after="0" w:line="84" w:lineRule="exact"/>
        <w:rPr>
          <w:rFonts w:ascii="Times New Roman" w:cs="Times New Roman" w:eastAsia="Times New Roman" w:hAnsi="Times New Roman"/>
          <w:sz w:val="20"/>
          <w:szCs w:val="20"/>
          <w:color w:val="auto"/>
        </w:rPr>
      </w:pPr>
    </w:p>
    <w:p>
      <w:pPr>
        <w:ind w:left="660" w:right="60" w:hanging="328"/>
        <w:spacing w:after="0" w:line="243"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Backlog is defined as the dollar amount of signed contracts or firm orders, generally as a result of a competitive bidding process, which is expected to be recognized as revenue. Backlog is an operating measure used by management to assess future potential sales revenue. It is most meaningful for the Architectural Services segment, due to the longer-term nature of their projects. Backlog is not a term defined under U.S. GAAP and is not a measure of contract profitability. Backlog should not be used as the sole indicator of future revenue because the Company has a substantial number of projects with short lead times that book-and-bill within the same reporting period that are not included in backlog.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0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safe harbor provisions of the U.S. Private Securities Litigation Reform Act of 1995. The words “may,” “believe,” “expect,” “anticipate,” “intend,” “estimate,” “forecast,” “project,” “should,” “will,” “continue,” and similar expressions are intended to identify “forward-looking statements”. These statements reflect Apogee management’s expectations or beliefs as of the date of this release. The Company undertakes no obligation to publicly update or revise any forward-looking statements, whether as a result of new information, future events or otherwise. All forward-looking statements are qualified by factors that may affect the results, performance, financial condition, prospects and opportunities of the Company, including the following:</w:t>
      </w:r>
    </w:p>
    <w:p>
      <w:pPr>
        <w:spacing w:after="0" w:line="4" w:lineRule="exact"/>
        <w:rPr>
          <w:sz w:val="20"/>
          <w:szCs w:val="20"/>
          <w:color w:val="auto"/>
        </w:rPr>
      </w:pPr>
    </w:p>
    <w:p>
      <w:pPr>
        <w:ind w:right="140" w:firstLine="8"/>
        <w:spacing w:after="0" w:line="245" w:lineRule="auto"/>
        <w:tabs>
          <w:tab w:leader="none" w:pos="32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North American and global economic conditions, including the cyclical nature of the North American and Latin American non-residential construction industries, which may adversely affect demand for the Company’s products and services; (B) U.S. and global instability and uncertainty arising from events outside of our control; (C) actions of new and existing competitors; (D) departure of key personnel and ability to source sufficient labor; (E) product performance, reliability and quality issues; (F) project management and installation issues that could affect the profitability of individual contracts; (G) financial and operating results that could differ from market expectations; (H) self-insurance risk related to a material product liability or other events for which the Company is liable; (I) maintaining our information technology systems and potential cybersecurity threats; (J) cost of regulatory compliance, including environmental regulations; (K) supply chain disruptions, including fluctuations in the availability and cost of materials used in our products and the impact of trade policies and regulations, including existing and potential future tariffs; (L) the ability to complete announced acquisitions on expected terms and timing; the successful integration and future operating performance of acquired businesses; and the ability to achieve anticipated benefits, including cost synergies, within expected timeframes; (N) our ability to successfully manage and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38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implement our enterprise strategy; (O) our ability to maintain effective internal controls over financial reporting; (P) our judgments regarding accounting for tax positions and resolution of tax disputes; (Q) the impacts of cost inflation and interest rates; and (R) the impact of changes in capital and credit markets on our liquidity and cost of capital. These factors are not exhaustive. Additional factors that could cause actual results to differ materially from those described in the forward-looking statements may emerge from time to time, and it is not possible for the Company to predict all such factors or assess the impact of each factor, or any combination of factors, on the Company’s business. More information concerning these and other risks is included in the Company’s Annual Report on Form 10-K and in subsequent filings with the U.S. Securities and Exchange Commission.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Jeremy Steffan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&amp; Communications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952.346.3502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ir@apog.com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00"/>
          </w:cols>
          <w:pgMar w:left="320" w:top="11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6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20" w:type="dxa"/>
            <w:vAlign w:val="bottom"/>
          </w:tcPr>
          <w:p>
            <w:pPr>
              <w:spacing w:after="0"/>
              <w:rPr>
                <w:sz w:val="18"/>
                <w:szCs w:val="18"/>
                <w:color w:val="auto"/>
              </w:rPr>
            </w:pPr>
          </w:p>
        </w:tc>
        <w:tc>
          <w:tcPr>
            <w:tcW w:w="1140" w:type="dxa"/>
            <w:vAlign w:val="bottom"/>
          </w:tcPr>
          <w:p>
            <w:pPr>
              <w:jc w:val="right"/>
              <w:ind w:right="204"/>
              <w:spacing w:after="0"/>
              <w:rPr>
                <w:sz w:val="20"/>
                <w:szCs w:val="20"/>
                <w:color w:val="auto"/>
              </w:rPr>
            </w:pPr>
            <w:r>
              <w:rPr>
                <w:rFonts w:ascii="Times New Roman" w:cs="Times New Roman" w:eastAsia="Times New Roman" w:hAnsi="Times New Roman"/>
                <w:sz w:val="14"/>
                <w:szCs w:val="14"/>
                <w:color w:val="auto"/>
              </w:rPr>
              <w:t>% Change</w:t>
            </w:r>
          </w:p>
        </w:tc>
      </w:tr>
      <w:tr>
        <w:trPr>
          <w:trHeight w:val="21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342,684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346,622</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267,654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271,497</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6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56,191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68,194</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2"/>
        </w:trPr>
        <w:tc>
          <w:tcPr>
            <w:tcW w:w="6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171.8 %</w:t>
            </w: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07"/>
        </w:trPr>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4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563.0 %</w:t>
            </w:r>
          </w:p>
        </w:tc>
      </w:tr>
      <w:tr>
        <w:trPr>
          <w:trHeight w:val="21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5,091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2"/>
        </w:trPr>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earnings (loss)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529.1 %</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523.1 %</w:t>
            </w:r>
          </w:p>
        </w:tc>
      </w:tr>
      <w:tr>
        <w:trPr>
          <w:trHeight w:val="21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515.4 %</w:t>
            </w: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basic shares outstanding</w:t>
            </w:r>
          </w:p>
        </w:tc>
        <w:tc>
          <w:tcPr>
            <w:tcW w:w="2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dividends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59"/>
        </w:trPr>
        <w:tc>
          <w:tcPr>
            <w:tcW w:w="6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margin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020"/>
          </w:cols>
          <w:pgMar w:left="320" w:top="118"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Condensed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00" w:type="dxa"/>
            <w:vAlign w:val="bottom"/>
          </w:tcPr>
          <w:p>
            <w:pPr>
              <w:spacing w:after="0"/>
              <w:rPr>
                <w:sz w:val="17"/>
                <w:szCs w:val="17"/>
                <w:color w:val="auto"/>
              </w:rPr>
            </w:pP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February 28, 2026</w:t>
            </w:r>
          </w:p>
        </w:tc>
      </w:tr>
      <w:tr>
        <w:trPr>
          <w:trHeight w:val="216"/>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39,523</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198,516</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98,059</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59,512</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43,823</w:t>
            </w:r>
          </w:p>
        </w:tc>
      </w:tr>
      <w:tr>
        <w:trPr>
          <w:trHeight w:val="207"/>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439,433</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255,032</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48,736</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236,744</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111,261</w:t>
            </w:r>
          </w:p>
        </w:tc>
      </w:tr>
      <w:tr>
        <w:trPr>
          <w:trHeight w:val="216"/>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31,139</w:t>
            </w:r>
          </w:p>
        </w:tc>
      </w:tr>
      <w:tr>
        <w:trPr>
          <w:trHeight w:val="212"/>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1,101,459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1,122,345</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105,478</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39,667</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60,903</w:t>
            </w:r>
          </w:p>
        </w:tc>
      </w:tr>
      <w:tr>
        <w:trPr>
          <w:trHeight w:val="213"/>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14,729</w:t>
            </w:r>
          </w:p>
        </w:tc>
      </w:tr>
      <w:tr>
        <w:trPr>
          <w:trHeight w:val="21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46,079</w:t>
            </w:r>
          </w:p>
        </w:tc>
      </w:tr>
      <w:tr>
        <w:trPr>
          <w:trHeight w:val="207"/>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266,856</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232,279</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39,375</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self-insurance reserves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24,914</w:t>
            </w:r>
          </w:p>
        </w:tc>
      </w:tr>
      <w:tr>
        <w:trPr>
          <w:trHeight w:val="21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47,127</w:t>
            </w:r>
          </w:p>
        </w:tc>
      </w:tr>
      <w:tr>
        <w:trPr>
          <w:trHeight w:val="216"/>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511,794</w:t>
            </w:r>
          </w:p>
        </w:tc>
      </w:tr>
      <w:tr>
        <w:trPr>
          <w:trHeight w:val="212"/>
        </w:trPr>
        <w:tc>
          <w:tcPr>
            <w:tcW w:w="77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1,101,459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1,122,345</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60" w:type="dxa"/>
            <w:vAlign w:val="bottom"/>
          </w:tcPr>
          <w:p>
            <w:pPr>
              <w:spacing w:after="0"/>
              <w:rPr>
                <w:sz w:val="24"/>
                <w:szCs w:val="24"/>
                <w:color w:val="auto"/>
              </w:rPr>
            </w:pPr>
          </w:p>
        </w:tc>
        <w:tc>
          <w:tcPr>
            <w:tcW w:w="14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12,436</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Receivables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(11,255)</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 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(16,639)</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Contract liabilities</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8,104</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r>
      <w:tr>
        <w:trPr>
          <w:trHeight w:val="19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Accrued income taxes</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21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(25,130)</w:t>
            </w:r>
          </w:p>
        </w:tc>
      </w:tr>
      <w:tr>
        <w:trPr>
          <w:trHeight w:val="190"/>
        </w:trPr>
        <w:tc>
          <w:tcPr>
            <w:tcW w:w="77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(19,782)</w:t>
            </w:r>
          </w:p>
        </w:tc>
      </w:tr>
      <w:tr>
        <w:trPr>
          <w:trHeight w:val="18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199"/>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w:t>
            </w:r>
          </w:p>
        </w:tc>
      </w:tr>
      <w:tr>
        <w:trPr>
          <w:trHeight w:val="17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59,000</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Repayment on revolving credit facilities</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term loans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r>
      <w:tr>
        <w:trPr>
          <w:trHeight w:val="196"/>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w:t>
            </w:r>
          </w:p>
        </w:tc>
      </w:tr>
      <w:tr>
        <w:trPr>
          <w:trHeight w:val="203"/>
        </w:trPr>
        <w:tc>
          <w:tcPr>
            <w:tcW w:w="7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by)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17,645</w:t>
            </w:r>
          </w:p>
        </w:tc>
      </w:tr>
      <w:tr>
        <w:trPr>
          <w:trHeight w:val="190"/>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20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w:t>
            </w:r>
          </w:p>
        </w:tc>
      </w:tr>
      <w:tr>
        <w:trPr>
          <w:trHeight w:val="196"/>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41,448</w:t>
            </w:r>
          </w:p>
        </w:tc>
      </w:tr>
      <w:tr>
        <w:trPr>
          <w:trHeight w:val="22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Business Segment Information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60" w:type="dxa"/>
            <w:vAlign w:val="bottom"/>
          </w:tcPr>
          <w:p>
            <w:pPr>
              <w:spacing w:after="0"/>
              <w:rPr>
                <w:sz w:val="18"/>
                <w:szCs w:val="18"/>
                <w:color w:val="auto"/>
              </w:rPr>
            </w:pPr>
          </w:p>
        </w:tc>
        <w:tc>
          <w:tcPr>
            <w:tcW w:w="13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0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122,443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128,624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106,505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26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67,712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73,273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44,324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(7,032)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(4,030)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342,684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346,622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9,366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46.3 %</w:t>
            </w:r>
          </w:p>
        </w:tc>
        <w:tc>
          <w:tcPr>
            <w:tcW w:w="0" w:type="dxa"/>
            <w:vAlign w:val="bottom"/>
          </w:tcPr>
          <w:p>
            <w:pPr>
              <w:spacing w:after="0"/>
              <w:rPr>
                <w:sz w:val="1"/>
                <w:szCs w:val="1"/>
                <w:color w:val="auto"/>
              </w:rPr>
            </w:pPr>
          </w:p>
        </w:tc>
      </w:tr>
      <w:tr>
        <w:trPr>
          <w:trHeight w:val="21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26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13,417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26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7,959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32,115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34,384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 margins</w:t>
            </w: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160" w:type="dxa"/>
            <w:vAlign w:val="bottom"/>
          </w:tcPr>
          <w:p>
            <w:pPr>
              <w:spacing w:after="0"/>
              <w:rPr>
                <w:sz w:val="18"/>
                <w:szCs w:val="18"/>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160" w:type="dxa"/>
            <w:vAlign w:val="bottom"/>
            <w:shd w:val="clear" w:color="auto" w:fill="CCEEFF"/>
          </w:tcPr>
          <w:p>
            <w:pPr>
              <w:spacing w:after="0"/>
              <w:rPr>
                <w:sz w:val="19"/>
                <w:szCs w:val="19"/>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160" w:type="dxa"/>
            <w:vAlign w:val="bottom"/>
          </w:tcPr>
          <w:p>
            <w:pPr>
              <w:spacing w:after="0"/>
              <w:rPr>
                <w:sz w:val="18"/>
                <w:szCs w:val="18"/>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160" w:type="dxa"/>
            <w:vAlign w:val="bottom"/>
            <w:shd w:val="clear" w:color="auto" w:fill="CCEEFF"/>
          </w:tcPr>
          <w:p>
            <w:pPr>
              <w:spacing w:after="0"/>
              <w:rPr>
                <w:sz w:val="19"/>
                <w:szCs w:val="19"/>
                <w:color w:val="auto"/>
              </w:rPr>
            </w:pPr>
          </w:p>
        </w:tc>
      </w:tr>
      <w:tr>
        <w:trPr>
          <w:trHeight w:val="210"/>
        </w:trPr>
        <w:tc>
          <w:tcPr>
            <w:tcW w:w="6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 margin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160" w:type="dxa"/>
            <w:vAlign w:val="bottom"/>
          </w:tcPr>
          <w:p>
            <w:pPr>
              <w:spacing w:after="0"/>
              <w:rPr>
                <w:sz w:val="18"/>
                <w:szCs w:val="18"/>
                <w:color w:val="auto"/>
              </w:rPr>
            </w:pPr>
          </w:p>
        </w:tc>
      </w:tr>
    </w:tbl>
    <w:p>
      <w:pPr>
        <w:spacing w:after="0" w:line="185" w:lineRule="exact"/>
        <w:rPr>
          <w:sz w:val="20"/>
          <w:szCs w:val="20"/>
          <w:color w:val="auto"/>
        </w:rPr>
      </w:pPr>
    </w:p>
    <w:p>
      <w:pPr>
        <w:ind w:left="320" w:hanging="150"/>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net sales is defined as net sales of the segment including revenue related to intersegment transactions.</w:t>
      </w:r>
    </w:p>
    <w:p>
      <w:pPr>
        <w:spacing w:after="0" w:line="109" w:lineRule="exact"/>
        <w:rPr>
          <w:rFonts w:ascii="Times New Roman" w:cs="Times New Roman" w:eastAsia="Times New Roman" w:hAnsi="Times New Roman"/>
          <w:sz w:val="14"/>
          <w:szCs w:val="14"/>
          <w:color w:val="auto"/>
        </w:rPr>
      </w:pPr>
    </w:p>
    <w:p>
      <w:pPr>
        <w:ind w:left="320" w:hanging="150"/>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net sales eliminations are presented separately to exclude these sales from our consolidated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0880"/>
          </w:cols>
          <w:pgMar w:left="320" w:top="118"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May 30, 2026</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0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Performance Surfaces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2280" w:type="dxa"/>
            <w:vAlign w:val="bottom"/>
            <w:gridSpan w:val="2"/>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9,759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2,628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11,535</w:t>
            </w: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4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3,554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3,499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3,950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12,579</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13,699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5,894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31,345</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4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221"/>
        </w:trPr>
        <w:tc>
          <w:tcPr>
            <w:tcW w:w="2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32,115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8"/>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May 31, 2025</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gridSpan w:val="2"/>
            <w:vMerge w:val="continue"/>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Performance Surfaces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2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10,202</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5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3,846</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5,091</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3,550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12,436</w:t>
            </w: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13,417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7,682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18,685</w:t>
            </w:r>
          </w:p>
        </w:tc>
        <w:tc>
          <w:tcPr>
            <w:tcW w:w="0" w:type="dxa"/>
            <w:vAlign w:val="bottom"/>
          </w:tcPr>
          <w:p>
            <w:pPr>
              <w:spacing w:after="0"/>
              <w:rPr>
                <w:sz w:val="1"/>
                <w:szCs w:val="1"/>
                <w:color w:val="auto"/>
              </w:rPr>
            </w:pPr>
          </w:p>
        </w:tc>
      </w:tr>
      <w:tr>
        <w:trPr>
          <w:trHeight w:val="203"/>
        </w:trPr>
        <w:tc>
          <w:tcPr>
            <w:tcW w:w="2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5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1,471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11,248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15,350</w:t>
            </w:r>
          </w:p>
        </w:tc>
        <w:tc>
          <w:tcPr>
            <w:tcW w:w="0" w:type="dxa"/>
            <w:vAlign w:val="bottom"/>
          </w:tcPr>
          <w:p>
            <w:pPr>
              <w:spacing w:after="0"/>
              <w:rPr>
                <w:sz w:val="1"/>
                <w:szCs w:val="1"/>
                <w:color w:val="auto"/>
              </w:rPr>
            </w:pPr>
          </w:p>
        </w:tc>
      </w:tr>
      <w:tr>
        <w:trPr>
          <w:trHeight w:val="19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9,366</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13,417</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34,384</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right="20" w:hanging="280"/>
        <w:spacing w:after="0" w:line="25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associated with the pending Kalwall acquisition in fiscal 2027 and the UW Solutions acquisition in fiscal 2026, respectively, which management does not consider reflective of core operating performance for the periods presented.</w:t>
      </w:r>
    </w:p>
    <w:p>
      <w:pPr>
        <w:ind w:left="380" w:hanging="280"/>
        <w:spacing w:after="0"/>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Phase 2, including $7.4 million of asset impairment charges in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Adjusted net earnings and adjusted diluted earnings per share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02"/>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(2,688)</w:t>
            </w:r>
          </w:p>
        </w:tc>
      </w:tr>
      <w:tr>
        <w:trPr>
          <w:trHeight w:val="203"/>
        </w:trPr>
        <w:tc>
          <w:tcPr>
            <w:tcW w:w="86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349</w:t>
            </w:r>
          </w:p>
        </w:tc>
      </w:tr>
      <w:tr>
        <w:trPr>
          <w:trHeight w:val="203"/>
        </w:trPr>
        <w:tc>
          <w:tcPr>
            <w:tcW w:w="86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15,350</w:t>
            </w:r>
          </w:p>
        </w:tc>
      </w:tr>
      <w:tr>
        <w:trPr>
          <w:trHeight w:val="203"/>
        </w:trPr>
        <w:tc>
          <w:tcPr>
            <w:tcW w:w="86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Income tax impact on above adjustments </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(1,161)</w:t>
            </w:r>
          </w:p>
        </w:tc>
      </w:tr>
      <w:tr>
        <w:trPr>
          <w:trHeight w:val="22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11,850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0" w:type="dxa"/>
            <w:vAlign w:val="bottom"/>
          </w:tcPr>
          <w:p>
            <w:pPr>
              <w:spacing w:after="0"/>
              <w:rPr>
                <w:sz w:val="1"/>
                <w:szCs w:val="1"/>
                <w:color w:val="auto"/>
              </w:rPr>
            </w:pPr>
          </w:p>
        </w:tc>
      </w:tr>
      <w:tr>
        <w:trPr>
          <w:trHeight w:val="202"/>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3"/>
        </w:trPr>
        <w:tc>
          <w:tcPr>
            <w:tcW w:w="86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Income tax impact on above adjustments </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94"/>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40" w:right="20" w:hanging="313"/>
        <w:spacing w:after="0" w:line="251" w:lineRule="auto"/>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associated with the pending Kalwall and UW Solutions acquisitions in fiscal 2027 and the UW Solutions acquisition in fiscal 2026, respectively, which management does not consider reflective of core operating performance for the periods presented.</w:t>
      </w:r>
    </w:p>
    <w:p>
      <w:pPr>
        <w:ind w:left="440" w:hanging="313"/>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Phase 2, including $7.4 million of asset impairment charges in fiscal 2026.</w:t>
      </w:r>
    </w:p>
    <w:p>
      <w:pPr>
        <w:spacing w:after="0" w:line="41" w:lineRule="exact"/>
        <w:rPr>
          <w:rFonts w:ascii="Times New Roman" w:cs="Times New Roman" w:eastAsia="Times New Roman" w:hAnsi="Times New Roman"/>
          <w:sz w:val="14"/>
          <w:szCs w:val="14"/>
          <w:color w:val="auto"/>
        </w:rPr>
      </w:pPr>
    </w:p>
    <w:p>
      <w:pPr>
        <w:ind w:left="440" w:hanging="313"/>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blended statutory tax rate for the jurisdictions in which the charge or income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Apogee Enterprises, Inc. </w:t>
      </w:r>
      <w:r>
        <w:rPr>
          <w:rFonts w:ascii="Times New Roman" w:cs="Times New Roman" w:eastAsia="Times New Roman" w:hAnsi="Times New Roman"/>
          <w:sz w:val="16"/>
          <w:szCs w:val="16"/>
          <w:color w:val="auto"/>
        </w:rPr>
        <w:t>• 4400 West 78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 Minneapolis, MN 55435 • (952) 835-1874 • www.apog.com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upperLetter"/>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2026-06-26T08:04:49Z</dcterms:created>
  <dcterms:modified xsi:type="dcterms:W3CDTF">2026-06-26T08:04:49Z</dcterms:modified>
</cp:coreProperties>
</file>