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0562.xml.htm"/>
      <w:bookmarkStart w:id="1" w:name="kswkform4_17860405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Krishna Suresh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WEST 78TH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will vestt over a three-year vesting period with 1/3 of the shares vesting on each 8/5/27, 8/5/28 and 8/5/29.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Welp, Attorney-in-Fact for Suresh Krishna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151" TargetMode="External"/><Relationship Id="rId5" Type="http://schemas.openxmlformats.org/officeDocument/2006/relationships/hyperlink" Target="http://www.sec.gov/cgi-bin/browse-edgar?action=getcompany&amp;CIK=00000068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3186</Characters>
  <CharactersWithSpaces>3705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