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24, 2026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4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APOGEE ENTERPRISES, INC.</w:t>
      </w:r>
    </w:p>
    <w:p>
      <w:pPr>
        <w:spacing w:after="0" w:line="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63"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70" w:lineRule="exact"/>
        <w:rPr>
          <w:sz w:val="24"/>
          <w:szCs w:val="24"/>
          <w:color w:val="auto"/>
        </w:rPr>
      </w:pPr>
    </w:p>
    <w:tbl>
      <w:tblPr>
        <w:tblLayout w:type="fixed"/>
        <w:tblInd w:w="700" w:type="dxa"/>
        <w:tblCellMar>
          <w:top w:w="0" w:type="dxa"/>
          <w:left w:w="0" w:type="dxa"/>
          <w:bottom w:w="0" w:type="dxa"/>
          <w:right w:w="0" w:type="dxa"/>
        </w:tblCellMar>
      </w:tblPr>
      <w:tr>
        <w:trPr>
          <w:trHeight w:val="207"/>
        </w:trPr>
        <w:tc>
          <w:tcPr>
            <w:tcW w:w="26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Minnesota</w:t>
            </w:r>
          </w:p>
        </w:tc>
        <w:tc>
          <w:tcPr>
            <w:tcW w:w="4400" w:type="dxa"/>
            <w:vAlign w:val="bottom"/>
          </w:tcPr>
          <w:p>
            <w:pPr>
              <w:jc w:val="right"/>
              <w:ind w:right="1750"/>
              <w:spacing w:after="0"/>
              <w:rPr>
                <w:sz w:val="20"/>
                <w:szCs w:val="20"/>
                <w:color w:val="auto"/>
              </w:rPr>
            </w:pPr>
            <w:r>
              <w:rPr>
                <w:rFonts w:ascii="Times New Roman" w:cs="Times New Roman" w:eastAsia="Times New Roman" w:hAnsi="Times New Roman"/>
                <w:sz w:val="18"/>
                <w:szCs w:val="18"/>
                <w:b w:val="1"/>
                <w:bCs w:val="1"/>
                <w:color w:val="auto"/>
              </w:rPr>
              <w:t>0-6365</w:t>
            </w:r>
          </w:p>
        </w:tc>
        <w:tc>
          <w:tcPr>
            <w:tcW w:w="320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41-0919654</w:t>
            </w:r>
          </w:p>
        </w:tc>
      </w:tr>
      <w:tr>
        <w:trPr>
          <w:trHeight w:val="221"/>
        </w:trPr>
        <w:tc>
          <w:tcPr>
            <w:tcW w:w="26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440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Number)</w:t>
            </w:r>
          </w:p>
        </w:tc>
      </w:tr>
      <w:tr>
        <w:trPr>
          <w:trHeight w:val="238"/>
        </w:trPr>
        <w:tc>
          <w:tcPr>
            <w:tcW w:w="26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440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248"/>
        </w:trPr>
        <w:tc>
          <w:tcPr>
            <w:tcW w:w="2620" w:type="dxa"/>
            <w:vAlign w:val="bottom"/>
          </w:tcPr>
          <w:p>
            <w:pPr>
              <w:spacing w:after="0"/>
              <w:rPr>
                <w:sz w:val="21"/>
                <w:szCs w:val="21"/>
                <w:color w:val="auto"/>
              </w:rPr>
            </w:pPr>
          </w:p>
        </w:tc>
        <w:tc>
          <w:tcPr>
            <w:tcW w:w="440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4400 West 78th Street - Suite 520</w:t>
            </w:r>
          </w:p>
        </w:tc>
        <w:tc>
          <w:tcPr>
            <w:tcW w:w="3200" w:type="dxa"/>
            <w:vAlign w:val="bottom"/>
          </w:tcPr>
          <w:p>
            <w:pPr>
              <w:spacing w:after="0"/>
              <w:rPr>
                <w:sz w:val="21"/>
                <w:szCs w:val="21"/>
                <w:color w:val="auto"/>
              </w:rPr>
            </w:pPr>
          </w:p>
        </w:tc>
      </w:tr>
      <w:tr>
        <w:trPr>
          <w:trHeight w:val="238"/>
        </w:trPr>
        <w:tc>
          <w:tcPr>
            <w:tcW w:w="2620" w:type="dxa"/>
            <w:vAlign w:val="bottom"/>
          </w:tcPr>
          <w:p>
            <w:pPr>
              <w:spacing w:after="0"/>
              <w:rPr>
                <w:sz w:val="20"/>
                <w:szCs w:val="20"/>
                <w:color w:val="auto"/>
              </w:rPr>
            </w:pPr>
          </w:p>
        </w:tc>
        <w:tc>
          <w:tcPr>
            <w:tcW w:w="440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Minneapolis, Minnesota 55435</w:t>
            </w:r>
          </w:p>
        </w:tc>
        <w:tc>
          <w:tcPr>
            <w:tcW w:w="3200" w:type="dxa"/>
            <w:vAlign w:val="bottom"/>
          </w:tcPr>
          <w:p>
            <w:pPr>
              <w:spacing w:after="0"/>
              <w:rPr>
                <w:sz w:val="20"/>
                <w:szCs w:val="20"/>
                <w:color w:val="auto"/>
              </w:rPr>
            </w:pPr>
          </w:p>
        </w:tc>
      </w:tr>
      <w:tr>
        <w:trPr>
          <w:trHeight w:val="270"/>
        </w:trPr>
        <w:tc>
          <w:tcPr>
            <w:tcW w:w="2620" w:type="dxa"/>
            <w:vAlign w:val="bottom"/>
          </w:tcPr>
          <w:p>
            <w:pPr>
              <w:spacing w:after="0"/>
              <w:rPr>
                <w:sz w:val="23"/>
                <w:szCs w:val="23"/>
                <w:color w:val="auto"/>
              </w:rPr>
            </w:pPr>
          </w:p>
        </w:tc>
        <w:tc>
          <w:tcPr>
            <w:tcW w:w="440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and zip code)</w:t>
            </w:r>
          </w:p>
        </w:tc>
        <w:tc>
          <w:tcPr>
            <w:tcW w:w="3200" w:type="dxa"/>
            <w:vAlign w:val="bottom"/>
          </w:tcPr>
          <w:p>
            <w:pPr>
              <w:spacing w:after="0"/>
              <w:rPr>
                <w:sz w:val="23"/>
                <w:szCs w:val="23"/>
                <w:color w:val="auto"/>
              </w:rPr>
            </w:pPr>
          </w:p>
        </w:tc>
      </w:tr>
      <w:tr>
        <w:trPr>
          <w:trHeight w:val="270"/>
        </w:trPr>
        <w:tc>
          <w:tcPr>
            <w:tcW w:w="2620" w:type="dxa"/>
            <w:vAlign w:val="bottom"/>
          </w:tcPr>
          <w:p>
            <w:pPr>
              <w:spacing w:after="0"/>
              <w:rPr>
                <w:sz w:val="23"/>
                <w:szCs w:val="23"/>
                <w:color w:val="auto"/>
              </w:rPr>
            </w:pPr>
          </w:p>
        </w:tc>
        <w:tc>
          <w:tcPr>
            <w:tcW w:w="4400" w:type="dxa"/>
            <w:vAlign w:val="bottom"/>
          </w:tcPr>
          <w:p>
            <w:pPr>
              <w:jc w:val="right"/>
              <w:ind w:right="1450"/>
              <w:spacing w:after="0"/>
              <w:rPr>
                <w:sz w:val="20"/>
                <w:szCs w:val="20"/>
                <w:color w:val="auto"/>
              </w:rPr>
            </w:pPr>
            <w:r>
              <w:rPr>
                <w:rFonts w:ascii="Times New Roman" w:cs="Times New Roman" w:eastAsia="Times New Roman" w:hAnsi="Times New Roman"/>
                <w:sz w:val="18"/>
                <w:szCs w:val="18"/>
                <w:b w:val="1"/>
                <w:bCs w:val="1"/>
                <w:color w:val="auto"/>
              </w:rPr>
              <w:t>(952) 835-1874</w:t>
            </w:r>
          </w:p>
        </w:tc>
        <w:tc>
          <w:tcPr>
            <w:tcW w:w="3200" w:type="dxa"/>
            <w:vAlign w:val="bottom"/>
          </w:tcPr>
          <w:p>
            <w:pPr>
              <w:spacing w:after="0"/>
              <w:rPr>
                <w:sz w:val="23"/>
                <w:szCs w:val="23"/>
                <w:color w:val="auto"/>
              </w:rPr>
            </w:pPr>
          </w:p>
        </w:tc>
      </w:tr>
      <w:tr>
        <w:trPr>
          <w:trHeight w:val="270"/>
        </w:trPr>
        <w:tc>
          <w:tcPr>
            <w:tcW w:w="2620" w:type="dxa"/>
            <w:vAlign w:val="bottom"/>
          </w:tcPr>
          <w:p>
            <w:pPr>
              <w:spacing w:after="0"/>
              <w:rPr>
                <w:sz w:val="23"/>
                <w:szCs w:val="23"/>
                <w:color w:val="auto"/>
              </w:rPr>
            </w:pPr>
          </w:p>
        </w:tc>
        <w:tc>
          <w:tcPr>
            <w:tcW w:w="440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3200" w:type="dxa"/>
            <w:vAlign w:val="bottom"/>
          </w:tcPr>
          <w:p>
            <w:pPr>
              <w:spacing w:after="0"/>
              <w:rPr>
                <w:sz w:val="23"/>
                <w:szCs w:val="23"/>
                <w:color w:val="auto"/>
              </w:rPr>
            </w:pPr>
          </w:p>
        </w:tc>
      </w:tr>
      <w:tr>
        <w:trPr>
          <w:trHeight w:val="445"/>
        </w:trPr>
        <w:tc>
          <w:tcPr>
            <w:tcW w:w="2620" w:type="dxa"/>
            <w:vAlign w:val="bottom"/>
          </w:tcPr>
          <w:p>
            <w:pPr>
              <w:spacing w:after="0"/>
              <w:rPr>
                <w:sz w:val="24"/>
                <w:szCs w:val="24"/>
                <w:color w:val="auto"/>
              </w:rPr>
            </w:pPr>
          </w:p>
        </w:tc>
        <w:tc>
          <w:tcPr>
            <w:tcW w:w="44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tc>
        <w:tc>
          <w:tcPr>
            <w:tcW w:w="3200" w:type="dxa"/>
            <w:vAlign w:val="bottom"/>
          </w:tcPr>
          <w:p>
            <w:pPr>
              <w:spacing w:after="0"/>
              <w:rPr>
                <w:sz w:val="24"/>
                <w:szCs w:val="24"/>
                <w:color w:val="auto"/>
              </w:rPr>
            </w:pPr>
          </w:p>
        </w:tc>
      </w:tr>
    </w:tbl>
    <w:p>
      <w:pPr>
        <w:spacing w:after="0" w:line="167" w:lineRule="exact"/>
        <w:rPr>
          <w:sz w:val="24"/>
          <w:szCs w:val="24"/>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236" w:lineRule="exact"/>
        <w:rPr>
          <w:sz w:val="24"/>
          <w:szCs w:val="24"/>
          <w:color w:val="auto"/>
        </w:rPr>
      </w:pPr>
    </w:p>
    <w:p>
      <w:pPr>
        <w:ind w:left="640" w:hanging="409"/>
        <w:spacing w:after="0"/>
        <w:tabs>
          <w:tab w:leader="none" w:pos="6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highlight w:val="black"/>
        </w:rPr>
      </w:pPr>
    </w:p>
    <w:p>
      <w:pPr>
        <w:ind w:left="640" w:hanging="409"/>
        <w:spacing w:after="0"/>
        <w:tabs>
          <w:tab w:leader="none" w:pos="6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highlight w:val="black"/>
        </w:rPr>
      </w:pPr>
    </w:p>
    <w:p>
      <w:pPr>
        <w:ind w:left="640" w:hanging="409"/>
        <w:spacing w:after="0"/>
        <w:tabs>
          <w:tab w:leader="none" w:pos="6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highlight w:val="black"/>
        </w:rPr>
      </w:pPr>
    </w:p>
    <w:p>
      <w:pPr>
        <w:ind w:left="640" w:hanging="409"/>
        <w:spacing w:after="0"/>
        <w:tabs>
          <w:tab w:leader="none" w:pos="6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13e-4(c) under the Exchange Act (17 CFR 240.13e-4(c))</w:t>
      </w:r>
    </w:p>
    <w:p>
      <w:pPr>
        <w:spacing w:after="0" w:line="293" w:lineRule="exact"/>
        <w:rPr>
          <w:sz w:val="24"/>
          <w:szCs w:val="24"/>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4" w:lineRule="exact"/>
        <w:rPr>
          <w:sz w:val="24"/>
          <w:szCs w:val="24"/>
          <w:color w:val="auto"/>
        </w:rPr>
      </w:pPr>
    </w:p>
    <w:tbl>
      <w:tblPr>
        <w:tblLayout w:type="fixed"/>
        <w:tblInd w:w="340" w:type="dxa"/>
        <w:tblCellMar>
          <w:top w:w="0" w:type="dxa"/>
          <w:left w:w="0" w:type="dxa"/>
          <w:bottom w:w="0" w:type="dxa"/>
          <w:right w:w="0" w:type="dxa"/>
        </w:tblCellMar>
      </w:tblPr>
      <w:tr>
        <w:trPr>
          <w:trHeight w:val="207"/>
        </w:trPr>
        <w:tc>
          <w:tcPr>
            <w:tcW w:w="7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720" w:type="dxa"/>
            <w:vAlign w:val="bottom"/>
          </w:tcPr>
          <w:p>
            <w:pPr>
              <w:spacing w:after="0"/>
              <w:rPr>
                <w:sz w:val="18"/>
                <w:szCs w:val="18"/>
                <w:color w:val="auto"/>
              </w:rPr>
            </w:pPr>
          </w:p>
        </w:tc>
        <w:tc>
          <w:tcPr>
            <w:tcW w:w="238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7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77"/>
        </w:trPr>
        <w:tc>
          <w:tcPr>
            <w:tcW w:w="37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Common Stock, $0.33 1/3 Par Value</w:t>
            </w:r>
          </w:p>
        </w:tc>
        <w:tc>
          <w:tcPr>
            <w:tcW w:w="238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9"/>
              </w:rPr>
              <w:t>APOG</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67" w:lineRule="exact"/>
        <w:rPr>
          <w:sz w:val="24"/>
          <w:szCs w:val="24"/>
          <w:color w:val="auto"/>
        </w:rPr>
      </w:pPr>
    </w:p>
    <w:p>
      <w:pPr>
        <w:ind w:right="1620"/>
        <w:spacing w:after="0" w:line="295" w:lineRule="exact"/>
        <w:rPr>
          <w:sz w:val="20"/>
          <w:szCs w:val="20"/>
          <w:color w:val="auto"/>
        </w:rPr>
      </w:pPr>
      <w:r>
        <w:rPr>
          <w:rFonts w:ascii="Times New Roman" w:cs="Times New Roman" w:eastAsia="Times New Roman" w:hAnsi="Times New Roman"/>
          <w:sz w:val="18"/>
          <w:szCs w:val="18"/>
          <w:b w:val="1"/>
          <w:bCs w:val="1"/>
          <w:color w:val="auto"/>
        </w:rPr>
        <w:t xml:space="preserve">Indicate by check mark whether the registrant is an emerging growth company as defined in Rule 12b-2 of the Exchange Act. Emerging growth company </w:t>
      </w:r>
      <w:r>
        <w:rPr>
          <w:rFonts w:ascii="MS PGothic" w:cs="MS PGothic" w:eastAsia="MS PGothic" w:hAnsi="MS PGothic"/>
          <w:sz w:val="18"/>
          <w:szCs w:val="18"/>
          <w:color w:val="auto"/>
          <w:highlight w:val="black"/>
        </w:rPr>
        <w:t>☐</w:t>
      </w:r>
    </w:p>
    <w:p>
      <w:pPr>
        <w:spacing w:after="0" w:line="45" w:lineRule="exact"/>
        <w:rPr>
          <w:sz w:val="24"/>
          <w:szCs w:val="24"/>
          <w:color w:val="auto"/>
        </w:rPr>
      </w:pPr>
    </w:p>
    <w:p>
      <w:pPr>
        <w:spacing w:after="0" w:line="241" w:lineRule="exact"/>
        <w:rPr>
          <w:sz w:val="20"/>
          <w:szCs w:val="20"/>
          <w:color w:val="auto"/>
        </w:rPr>
      </w:pPr>
      <w:r>
        <w:rPr>
          <w:rFonts w:ascii="Times New Roman" w:cs="Times New Roman" w:eastAsia="Times New Roman" w:hAnsi="Times New Roman"/>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sectPr>
      </w:pPr>
    </w:p>
    <w:bookmarkStart w:id="1" w:name="page2"/>
    <w:bookmarkEnd w:id="1"/>
    <w:p>
      <w:pPr>
        <w:ind w:left="2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Annual Meeting of Shareholders (the "Annual Meeting") was held on June 24, 2026. The three proposals voted upon at the Annual Meeting are described in detail in the Company’s Proxy Statement for the Annual Meeting filed with the Securities and Exchange Commission on May 12, 2026. The final results for the votes regarding each proposal are set forth below.</w:t>
      </w:r>
    </w:p>
    <w:p>
      <w:pPr>
        <w:spacing w:after="0" w:line="176" w:lineRule="exact"/>
        <w:rPr>
          <w:sz w:val="20"/>
          <w:szCs w:val="20"/>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re-elect two Class I directors for three-year terms expiring at the 2029 Annual Meeting of Shareholders. Each of the director nominees was re-elected and received the following votes:</w:t>
      </w:r>
    </w:p>
    <w:p>
      <w:pPr>
        <w:spacing w:after="0" w:line="198"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Class II Directors</w:t>
            </w: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02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92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8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3"/>
        </w:trPr>
        <w:tc>
          <w:tcPr>
            <w:tcW w:w="2320" w:type="dxa"/>
            <w:vAlign w:val="bottom"/>
            <w:tcBorders>
              <w:top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Donald A. Nolan</w:t>
            </w:r>
          </w:p>
        </w:tc>
        <w:tc>
          <w:tcPr>
            <w:tcW w:w="100" w:type="dxa"/>
            <w:vAlign w:val="bottom"/>
            <w:tcBorders>
              <w:top w:val="single" w:sz="8" w:color="DBDBDB"/>
            </w:tcBorders>
            <w:shd w:val="clear" w:color="auto" w:fill="DBDBDB"/>
          </w:tcPr>
          <w:p>
            <w:pPr>
              <w:spacing w:after="0"/>
              <w:rPr>
                <w:sz w:val="19"/>
                <w:szCs w:val="19"/>
                <w:color w:val="auto"/>
              </w:rPr>
            </w:pPr>
          </w:p>
        </w:tc>
        <w:tc>
          <w:tcPr>
            <w:tcW w:w="1460" w:type="dxa"/>
            <w:vAlign w:val="bottom"/>
            <w:tcBorders>
              <w:top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16,473,836</w:t>
            </w:r>
          </w:p>
        </w:tc>
        <w:tc>
          <w:tcPr>
            <w:tcW w:w="120" w:type="dxa"/>
            <w:vAlign w:val="bottom"/>
            <w:tcBorders>
              <w:top w:val="single" w:sz="8" w:color="DBDBDB"/>
            </w:tcBorders>
            <w:shd w:val="clear" w:color="auto" w:fill="DBDBDB"/>
          </w:tcPr>
          <w:p>
            <w:pPr>
              <w:spacing w:after="0"/>
              <w:rPr>
                <w:sz w:val="19"/>
                <w:szCs w:val="19"/>
                <w:color w:val="auto"/>
              </w:rPr>
            </w:pPr>
          </w:p>
        </w:tc>
        <w:tc>
          <w:tcPr>
            <w:tcW w:w="1920" w:type="dxa"/>
            <w:vAlign w:val="bottom"/>
            <w:tcBorders>
              <w:top w:val="single" w:sz="8" w:color="auto"/>
            </w:tcBorders>
            <w:shd w:val="clear" w:color="auto" w:fill="DBDBDB"/>
          </w:tcPr>
          <w:p>
            <w:pPr>
              <w:jc w:val="right"/>
              <w:ind w:right="350"/>
              <w:spacing w:after="0"/>
              <w:rPr>
                <w:sz w:val="20"/>
                <w:szCs w:val="20"/>
                <w:color w:val="auto"/>
              </w:rPr>
            </w:pPr>
            <w:r>
              <w:rPr>
                <w:rFonts w:ascii="Times New Roman" w:cs="Times New Roman" w:eastAsia="Times New Roman" w:hAnsi="Times New Roman"/>
                <w:sz w:val="18"/>
                <w:szCs w:val="18"/>
                <w:color w:val="auto"/>
              </w:rPr>
              <w:t>567,339</w:t>
            </w:r>
          </w:p>
        </w:tc>
        <w:tc>
          <w:tcPr>
            <w:tcW w:w="100" w:type="dxa"/>
            <w:vAlign w:val="bottom"/>
            <w:tcBorders>
              <w:top w:val="single" w:sz="8" w:color="DBDBDB"/>
            </w:tcBorders>
            <w:shd w:val="clear" w:color="auto" w:fill="DBDBDB"/>
          </w:tcPr>
          <w:p>
            <w:pPr>
              <w:spacing w:after="0"/>
              <w:rPr>
                <w:sz w:val="19"/>
                <w:szCs w:val="19"/>
                <w:color w:val="auto"/>
              </w:rPr>
            </w:pPr>
          </w:p>
        </w:tc>
        <w:tc>
          <w:tcPr>
            <w:tcW w:w="1840" w:type="dxa"/>
            <w:vAlign w:val="bottom"/>
            <w:tcBorders>
              <w:top w:val="single" w:sz="8" w:color="auto"/>
            </w:tcBorders>
            <w:shd w:val="clear" w:color="auto" w:fill="DBDBDB"/>
          </w:tcPr>
          <w:p>
            <w:pPr>
              <w:jc w:val="right"/>
              <w:ind w:right="470"/>
              <w:spacing w:after="0"/>
              <w:rPr>
                <w:sz w:val="20"/>
                <w:szCs w:val="20"/>
                <w:color w:val="auto"/>
              </w:rPr>
            </w:pPr>
            <w:r>
              <w:rPr>
                <w:rFonts w:ascii="Times New Roman" w:cs="Times New Roman" w:eastAsia="Times New Roman" w:hAnsi="Times New Roman"/>
                <w:sz w:val="18"/>
                <w:szCs w:val="18"/>
                <w:color w:val="auto"/>
              </w:rPr>
              <w:t>17,807</w:t>
            </w:r>
          </w:p>
        </w:tc>
        <w:tc>
          <w:tcPr>
            <w:tcW w:w="80" w:type="dxa"/>
            <w:vAlign w:val="bottom"/>
            <w:tcBorders>
              <w:top w:val="single" w:sz="8" w:color="DBDBDB"/>
            </w:tcBorders>
            <w:shd w:val="clear" w:color="auto" w:fill="DBDBDB"/>
          </w:tcPr>
          <w:p>
            <w:pPr>
              <w:spacing w:after="0"/>
              <w:rPr>
                <w:sz w:val="19"/>
                <w:szCs w:val="19"/>
                <w:color w:val="auto"/>
              </w:rPr>
            </w:pPr>
          </w:p>
        </w:tc>
        <w:tc>
          <w:tcPr>
            <w:tcW w:w="1840" w:type="dxa"/>
            <w:vAlign w:val="bottom"/>
            <w:tcBorders>
              <w:top w:val="single" w:sz="8" w:color="auto"/>
            </w:tcBorders>
            <w:shd w:val="clear" w:color="auto" w:fill="DBDBDB"/>
          </w:tcPr>
          <w:p>
            <w:pPr>
              <w:jc w:val="right"/>
              <w:ind w:right="350"/>
              <w:spacing w:after="0"/>
              <w:rPr>
                <w:sz w:val="20"/>
                <w:szCs w:val="20"/>
                <w:color w:val="auto"/>
              </w:rPr>
            </w:pPr>
            <w:r>
              <w:rPr>
                <w:rFonts w:ascii="Times New Roman" w:cs="Times New Roman" w:eastAsia="Times New Roman" w:hAnsi="Times New Roman"/>
                <w:sz w:val="18"/>
                <w:szCs w:val="18"/>
                <w:color w:val="auto"/>
              </w:rPr>
              <w:t>1,652,162</w:t>
            </w:r>
          </w:p>
        </w:tc>
      </w:tr>
      <w:tr>
        <w:trPr>
          <w:trHeight w:val="234"/>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Patricia K. Wagner</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15,665,136</w:t>
            </w:r>
          </w:p>
        </w:tc>
        <w:tc>
          <w:tcPr>
            <w:tcW w:w="120" w:type="dxa"/>
            <w:vAlign w:val="bottom"/>
          </w:tcPr>
          <w:p>
            <w:pPr>
              <w:spacing w:after="0"/>
              <w:rPr>
                <w:sz w:val="20"/>
                <w:szCs w:val="20"/>
                <w:color w:val="auto"/>
              </w:rPr>
            </w:pPr>
          </w:p>
        </w:tc>
        <w:tc>
          <w:tcPr>
            <w:tcW w:w="19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1,375,827</w:t>
            </w:r>
          </w:p>
        </w:tc>
        <w:tc>
          <w:tcPr>
            <w:tcW w:w="100" w:type="dxa"/>
            <w:vAlign w:val="bottom"/>
          </w:tcPr>
          <w:p>
            <w:pPr>
              <w:spacing w:after="0"/>
              <w:rPr>
                <w:sz w:val="20"/>
                <w:szCs w:val="20"/>
                <w:color w:val="auto"/>
              </w:rPr>
            </w:pPr>
          </w:p>
        </w:tc>
        <w:tc>
          <w:tcPr>
            <w:tcW w:w="18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18,019</w:t>
            </w:r>
          </w:p>
        </w:tc>
        <w:tc>
          <w:tcPr>
            <w:tcW w:w="80" w:type="dxa"/>
            <w:vAlign w:val="bottom"/>
          </w:tcPr>
          <w:p>
            <w:pPr>
              <w:spacing w:after="0"/>
              <w:rPr>
                <w:sz w:val="20"/>
                <w:szCs w:val="20"/>
                <w:color w:val="auto"/>
              </w:rPr>
            </w:pPr>
          </w:p>
        </w:tc>
        <w:tc>
          <w:tcPr>
            <w:tcW w:w="18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1,652,162</w:t>
            </w:r>
          </w:p>
        </w:tc>
      </w:tr>
    </w:tbl>
    <w:p>
      <w:pPr>
        <w:spacing w:after="0" w:line="27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advisory vote to approve the Company's executive compensation. The proposal was approved and received the following votes:</w:t>
      </w:r>
    </w:p>
    <w:p>
      <w:pPr>
        <w:spacing w:after="0" w:line="262"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2420" w:type="dxa"/>
            <w:vAlign w:val="bottom"/>
            <w:gridSpan w:val="2"/>
          </w:tcPr>
          <w:p>
            <w:pPr>
              <w:ind w:left="1020"/>
              <w:spacing w:after="0"/>
              <w:rPr>
                <w:sz w:val="20"/>
                <w:szCs w:val="20"/>
                <w:color w:val="auto"/>
              </w:rPr>
            </w:pPr>
            <w:r>
              <w:rPr>
                <w:rFonts w:ascii="Times New Roman" w:cs="Times New Roman" w:eastAsia="Times New Roman" w:hAnsi="Times New Roman"/>
                <w:sz w:val="18"/>
                <w:szCs w:val="18"/>
                <w:b w:val="1"/>
                <w:bCs w:val="1"/>
                <w:color w:val="auto"/>
              </w:rPr>
              <w:t>For</w:t>
            </w:r>
          </w:p>
        </w:tc>
        <w:tc>
          <w:tcPr>
            <w:tcW w:w="242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58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3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3"/>
        </w:trPr>
        <w:tc>
          <w:tcPr>
            <w:tcW w:w="2320" w:type="dxa"/>
            <w:vAlign w:val="bottom"/>
            <w:tcBorders>
              <w:top w:val="single" w:sz="8" w:color="auto"/>
            </w:tcBorders>
            <w:shd w:val="clear" w:color="auto" w:fill="DBDBDB"/>
          </w:tcPr>
          <w:p>
            <w:pPr>
              <w:jc w:val="right"/>
              <w:ind w:right="470"/>
              <w:spacing w:after="0"/>
              <w:rPr>
                <w:sz w:val="20"/>
                <w:szCs w:val="20"/>
                <w:color w:val="auto"/>
              </w:rPr>
            </w:pPr>
            <w:r>
              <w:rPr>
                <w:rFonts w:ascii="Times New Roman" w:cs="Times New Roman" w:eastAsia="Times New Roman" w:hAnsi="Times New Roman"/>
                <w:sz w:val="18"/>
                <w:szCs w:val="18"/>
                <w:color w:val="auto"/>
              </w:rPr>
              <w:t>15,970,095</w:t>
            </w:r>
          </w:p>
        </w:tc>
        <w:tc>
          <w:tcPr>
            <w:tcW w:w="100" w:type="dxa"/>
            <w:vAlign w:val="bottom"/>
            <w:tcBorders>
              <w:top w:val="single" w:sz="8" w:color="DBDBDB"/>
            </w:tcBorders>
            <w:shd w:val="clear" w:color="auto" w:fill="DBDBDB"/>
          </w:tcPr>
          <w:p>
            <w:pPr>
              <w:spacing w:after="0"/>
              <w:rPr>
                <w:sz w:val="19"/>
                <w:szCs w:val="19"/>
                <w:color w:val="auto"/>
              </w:rPr>
            </w:pPr>
          </w:p>
        </w:tc>
        <w:tc>
          <w:tcPr>
            <w:tcW w:w="2340" w:type="dxa"/>
            <w:vAlign w:val="bottom"/>
            <w:tcBorders>
              <w:top w:val="single" w:sz="8" w:color="auto"/>
            </w:tcBorders>
            <w:shd w:val="clear" w:color="auto" w:fill="DBDBDB"/>
          </w:tcPr>
          <w:p>
            <w:pPr>
              <w:jc w:val="right"/>
              <w:ind w:right="590"/>
              <w:spacing w:after="0"/>
              <w:rPr>
                <w:sz w:val="20"/>
                <w:szCs w:val="20"/>
                <w:color w:val="auto"/>
              </w:rPr>
            </w:pPr>
            <w:r>
              <w:rPr>
                <w:rFonts w:ascii="Times New Roman" w:cs="Times New Roman" w:eastAsia="Times New Roman" w:hAnsi="Times New Roman"/>
                <w:sz w:val="18"/>
                <w:szCs w:val="18"/>
                <w:color w:val="auto"/>
              </w:rPr>
              <w:t>1,049,711</w:t>
            </w:r>
          </w:p>
        </w:tc>
        <w:tc>
          <w:tcPr>
            <w:tcW w:w="80" w:type="dxa"/>
            <w:vAlign w:val="bottom"/>
            <w:tcBorders>
              <w:top w:val="single" w:sz="8" w:color="DBDBDB"/>
            </w:tcBorders>
            <w:shd w:val="clear" w:color="auto" w:fill="DBDBDB"/>
          </w:tcPr>
          <w:p>
            <w:pPr>
              <w:spacing w:after="0"/>
              <w:rPr>
                <w:sz w:val="19"/>
                <w:szCs w:val="19"/>
                <w:color w:val="auto"/>
              </w:rPr>
            </w:pPr>
          </w:p>
        </w:tc>
        <w:tc>
          <w:tcPr>
            <w:tcW w:w="2340" w:type="dxa"/>
            <w:vAlign w:val="bottom"/>
            <w:tcBorders>
              <w:top w:val="single" w:sz="8" w:color="auto"/>
            </w:tcBorders>
            <w:shd w:val="clear" w:color="auto" w:fill="DBDBDB"/>
          </w:tcPr>
          <w:p>
            <w:pPr>
              <w:jc w:val="right"/>
              <w:ind w:right="570"/>
              <w:spacing w:after="0"/>
              <w:rPr>
                <w:sz w:val="20"/>
                <w:szCs w:val="20"/>
                <w:color w:val="auto"/>
              </w:rPr>
            </w:pPr>
            <w:r>
              <w:rPr>
                <w:rFonts w:ascii="Times New Roman" w:cs="Times New Roman" w:eastAsia="Times New Roman" w:hAnsi="Times New Roman"/>
                <w:sz w:val="18"/>
                <w:szCs w:val="18"/>
                <w:color w:val="auto"/>
              </w:rPr>
              <w:t>39,176</w:t>
            </w:r>
          </w:p>
        </w:tc>
        <w:tc>
          <w:tcPr>
            <w:tcW w:w="240" w:type="dxa"/>
            <w:vAlign w:val="bottom"/>
            <w:tcBorders>
              <w:top w:val="single" w:sz="8" w:color="DBDBDB"/>
            </w:tcBorders>
            <w:shd w:val="clear" w:color="auto" w:fill="DBDBDB"/>
          </w:tcPr>
          <w:p>
            <w:pPr>
              <w:spacing w:after="0"/>
              <w:rPr>
                <w:sz w:val="19"/>
                <w:szCs w:val="19"/>
                <w:color w:val="auto"/>
              </w:rPr>
            </w:pPr>
          </w:p>
        </w:tc>
        <w:tc>
          <w:tcPr>
            <w:tcW w:w="2320" w:type="dxa"/>
            <w:vAlign w:val="bottom"/>
            <w:tcBorders>
              <w:top w:val="single" w:sz="8" w:color="auto"/>
            </w:tcBorders>
            <w:shd w:val="clear" w:color="auto" w:fill="DBDBDB"/>
          </w:tcPr>
          <w:p>
            <w:pPr>
              <w:jc w:val="right"/>
              <w:ind w:right="470"/>
              <w:spacing w:after="0"/>
              <w:rPr>
                <w:sz w:val="20"/>
                <w:szCs w:val="20"/>
                <w:color w:val="auto"/>
              </w:rPr>
            </w:pPr>
            <w:r>
              <w:rPr>
                <w:rFonts w:ascii="Times New Roman" w:cs="Times New Roman" w:eastAsia="Times New Roman" w:hAnsi="Times New Roman"/>
                <w:sz w:val="18"/>
                <w:szCs w:val="18"/>
                <w:color w:val="auto"/>
              </w:rPr>
              <w:t>1,652,162</w:t>
            </w:r>
          </w:p>
        </w:tc>
      </w:tr>
    </w:tbl>
    <w:p>
      <w:pPr>
        <w:spacing w:after="0" w:line="292" w:lineRule="exact"/>
        <w:rPr>
          <w:sz w:val="20"/>
          <w:szCs w:val="20"/>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for approval of the Apogee Enterprises, Inc. 2019 Stock Incentive Plan, as Amended and Restated (2026) to increase the number of shares authorized for awards from 2,150,000 to 2,950,000.</w:t>
      </w:r>
    </w:p>
    <w:p>
      <w:pPr>
        <w:spacing w:after="0" w:line="198"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2200" w:type="dxa"/>
            <w:vAlign w:val="bottom"/>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For</w:t>
            </w:r>
          </w:p>
        </w:tc>
        <w:tc>
          <w:tcPr>
            <w:tcW w:w="222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36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1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3"/>
        </w:trPr>
        <w:tc>
          <w:tcPr>
            <w:tcW w:w="2100" w:type="dxa"/>
            <w:vAlign w:val="bottom"/>
            <w:tcBorders>
              <w:top w:val="single" w:sz="8" w:color="auto"/>
            </w:tcBorders>
            <w:shd w:val="clear" w:color="auto" w:fill="DBDBDB"/>
          </w:tcPr>
          <w:p>
            <w:pPr>
              <w:jc w:val="right"/>
              <w:ind w:right="470"/>
              <w:spacing w:after="0"/>
              <w:rPr>
                <w:sz w:val="20"/>
                <w:szCs w:val="20"/>
                <w:color w:val="auto"/>
              </w:rPr>
            </w:pPr>
            <w:r>
              <w:rPr>
                <w:rFonts w:ascii="Times New Roman" w:cs="Times New Roman" w:eastAsia="Times New Roman" w:hAnsi="Times New Roman"/>
                <w:sz w:val="18"/>
                <w:szCs w:val="18"/>
                <w:color w:val="auto"/>
              </w:rPr>
              <w:t>15,916,220</w:t>
            </w:r>
          </w:p>
        </w:tc>
        <w:tc>
          <w:tcPr>
            <w:tcW w:w="100" w:type="dxa"/>
            <w:vAlign w:val="bottom"/>
            <w:tcBorders>
              <w:top w:val="single" w:sz="8" w:color="DBDBDB"/>
            </w:tcBorders>
            <w:shd w:val="clear" w:color="auto" w:fill="DBDBDB"/>
          </w:tcPr>
          <w:p>
            <w:pPr>
              <w:spacing w:after="0"/>
              <w:rPr>
                <w:sz w:val="19"/>
                <w:szCs w:val="19"/>
                <w:color w:val="auto"/>
              </w:rPr>
            </w:pPr>
          </w:p>
        </w:tc>
        <w:tc>
          <w:tcPr>
            <w:tcW w:w="2140" w:type="dxa"/>
            <w:vAlign w:val="bottom"/>
            <w:tcBorders>
              <w:top w:val="single" w:sz="8" w:color="auto"/>
            </w:tcBorders>
            <w:shd w:val="clear" w:color="auto" w:fill="DBDBDB"/>
          </w:tcPr>
          <w:p>
            <w:pPr>
              <w:ind w:left="760"/>
              <w:spacing w:after="0"/>
              <w:rPr>
                <w:sz w:val="20"/>
                <w:szCs w:val="20"/>
                <w:color w:val="auto"/>
              </w:rPr>
            </w:pPr>
            <w:r>
              <w:rPr>
                <w:rFonts w:ascii="Times New Roman" w:cs="Times New Roman" w:eastAsia="Times New Roman" w:hAnsi="Times New Roman"/>
                <w:sz w:val="18"/>
                <w:szCs w:val="18"/>
                <w:color w:val="auto"/>
              </w:rPr>
              <w:t>1,112,759</w:t>
            </w:r>
          </w:p>
        </w:tc>
        <w:tc>
          <w:tcPr>
            <w:tcW w:w="80" w:type="dxa"/>
            <w:vAlign w:val="bottom"/>
            <w:tcBorders>
              <w:top w:val="single" w:sz="8" w:color="DBDBDB"/>
            </w:tcBorders>
            <w:shd w:val="clear" w:color="auto" w:fill="DBDBDB"/>
          </w:tcPr>
          <w:p>
            <w:pPr>
              <w:spacing w:after="0"/>
              <w:rPr>
                <w:sz w:val="19"/>
                <w:szCs w:val="19"/>
                <w:color w:val="auto"/>
              </w:rPr>
            </w:pPr>
          </w:p>
        </w:tc>
        <w:tc>
          <w:tcPr>
            <w:tcW w:w="2140" w:type="dxa"/>
            <w:vAlign w:val="bottom"/>
            <w:tcBorders>
              <w:top w:val="single" w:sz="8" w:color="auto"/>
            </w:tcBorders>
            <w:shd w:val="clear" w:color="auto" w:fill="DBDBDB"/>
          </w:tcPr>
          <w:p>
            <w:pPr>
              <w:jc w:val="right"/>
              <w:ind w:right="570"/>
              <w:spacing w:after="0"/>
              <w:rPr>
                <w:sz w:val="20"/>
                <w:szCs w:val="20"/>
                <w:color w:val="auto"/>
              </w:rPr>
            </w:pPr>
            <w:r>
              <w:rPr>
                <w:rFonts w:ascii="Times New Roman" w:cs="Times New Roman" w:eastAsia="Times New Roman" w:hAnsi="Times New Roman"/>
                <w:sz w:val="18"/>
                <w:szCs w:val="18"/>
                <w:color w:val="auto"/>
              </w:rPr>
              <w:t>30,003</w:t>
            </w:r>
          </w:p>
        </w:tc>
        <w:tc>
          <w:tcPr>
            <w:tcW w:w="220" w:type="dxa"/>
            <w:vAlign w:val="bottom"/>
            <w:tcBorders>
              <w:top w:val="single" w:sz="8" w:color="DBDBDB"/>
            </w:tcBorders>
            <w:shd w:val="clear" w:color="auto" w:fill="DBDBDB"/>
          </w:tcPr>
          <w:p>
            <w:pPr>
              <w:spacing w:after="0"/>
              <w:rPr>
                <w:sz w:val="19"/>
                <w:szCs w:val="19"/>
                <w:color w:val="auto"/>
              </w:rPr>
            </w:pPr>
          </w:p>
        </w:tc>
        <w:tc>
          <w:tcPr>
            <w:tcW w:w="2120" w:type="dxa"/>
            <w:vAlign w:val="bottom"/>
            <w:tcBorders>
              <w:top w:val="single" w:sz="8" w:color="auto"/>
            </w:tcBorders>
            <w:shd w:val="clear" w:color="auto" w:fill="DBDBDB"/>
          </w:tcPr>
          <w:p>
            <w:pPr>
              <w:jc w:val="right"/>
              <w:ind w:right="450"/>
              <w:spacing w:after="0"/>
              <w:rPr>
                <w:sz w:val="20"/>
                <w:szCs w:val="20"/>
                <w:color w:val="auto"/>
              </w:rPr>
            </w:pPr>
            <w:r>
              <w:rPr>
                <w:rFonts w:ascii="Times New Roman" w:cs="Times New Roman" w:eastAsia="Times New Roman" w:hAnsi="Times New Roman"/>
                <w:sz w:val="18"/>
                <w:szCs w:val="18"/>
                <w:color w:val="auto"/>
              </w:rPr>
              <w:t>1,652,162</w:t>
            </w:r>
          </w:p>
        </w:tc>
      </w:tr>
    </w:tbl>
    <w:p>
      <w:pPr>
        <w:spacing w:after="0" w:line="292" w:lineRule="exact"/>
        <w:rPr>
          <w:sz w:val="20"/>
          <w:szCs w:val="20"/>
          <w:color w:val="auto"/>
        </w:rPr>
      </w:pPr>
    </w:p>
    <w:p>
      <w:pPr>
        <w:ind w:left="660" w:hanging="328"/>
        <w:spacing w:after="0" w:line="225" w:lineRule="auto"/>
        <w:tabs>
          <w:tab w:leader="none" w:pos="6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 proposal to ratify the appointment of Deloitte &amp; Touche LLP as the Company's independent registered public accounting firm for the fiscal year ending February 27, 2027. The proposal was approved and received the following votes:</w:t>
      </w:r>
    </w:p>
    <w:p>
      <w:pPr>
        <w:spacing w:after="0" w:line="5"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2420" w:type="dxa"/>
            <w:vAlign w:val="bottom"/>
            <w:gridSpan w:val="2"/>
          </w:tcPr>
          <w:p>
            <w:pPr>
              <w:ind w:left="1020"/>
              <w:spacing w:after="0"/>
              <w:rPr>
                <w:sz w:val="20"/>
                <w:szCs w:val="20"/>
                <w:color w:val="auto"/>
              </w:rPr>
            </w:pPr>
            <w:r>
              <w:rPr>
                <w:rFonts w:ascii="Times New Roman" w:cs="Times New Roman" w:eastAsia="Times New Roman" w:hAnsi="Times New Roman"/>
                <w:sz w:val="18"/>
                <w:szCs w:val="18"/>
                <w:b w:val="1"/>
                <w:bCs w:val="1"/>
                <w:color w:val="auto"/>
              </w:rPr>
              <w:t>For</w:t>
            </w:r>
          </w:p>
        </w:tc>
        <w:tc>
          <w:tcPr>
            <w:tcW w:w="242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58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23"/>
        </w:trPr>
        <w:tc>
          <w:tcPr>
            <w:tcW w:w="2320" w:type="dxa"/>
            <w:vAlign w:val="bottom"/>
            <w:tcBorders>
              <w:top w:val="single" w:sz="8" w:color="auto"/>
            </w:tcBorders>
            <w:shd w:val="clear" w:color="auto" w:fill="DBDBDB"/>
          </w:tcPr>
          <w:p>
            <w:pPr>
              <w:jc w:val="right"/>
              <w:ind w:right="470"/>
              <w:spacing w:after="0"/>
              <w:rPr>
                <w:sz w:val="20"/>
                <w:szCs w:val="20"/>
                <w:color w:val="auto"/>
              </w:rPr>
            </w:pPr>
            <w:r>
              <w:rPr>
                <w:rFonts w:ascii="Times New Roman" w:cs="Times New Roman" w:eastAsia="Times New Roman" w:hAnsi="Times New Roman"/>
                <w:sz w:val="18"/>
                <w:szCs w:val="18"/>
                <w:color w:val="auto"/>
              </w:rPr>
              <w:t>18,264,692</w:t>
            </w:r>
          </w:p>
        </w:tc>
        <w:tc>
          <w:tcPr>
            <w:tcW w:w="100" w:type="dxa"/>
            <w:vAlign w:val="bottom"/>
            <w:tcBorders>
              <w:top w:val="single" w:sz="8" w:color="DBDBDB"/>
            </w:tcBorders>
            <w:shd w:val="clear" w:color="auto" w:fill="DBDBDB"/>
          </w:tcPr>
          <w:p>
            <w:pPr>
              <w:spacing w:after="0"/>
              <w:rPr>
                <w:sz w:val="19"/>
                <w:szCs w:val="19"/>
                <w:color w:val="auto"/>
              </w:rPr>
            </w:pPr>
          </w:p>
        </w:tc>
        <w:tc>
          <w:tcPr>
            <w:tcW w:w="2340" w:type="dxa"/>
            <w:vAlign w:val="bottom"/>
            <w:tcBorders>
              <w:top w:val="single" w:sz="8" w:color="auto"/>
            </w:tcBorders>
            <w:shd w:val="clear" w:color="auto" w:fill="DBDBDB"/>
          </w:tcPr>
          <w:p>
            <w:pPr>
              <w:jc w:val="right"/>
              <w:ind w:right="590"/>
              <w:spacing w:after="0"/>
              <w:rPr>
                <w:sz w:val="20"/>
                <w:szCs w:val="20"/>
                <w:color w:val="auto"/>
              </w:rPr>
            </w:pPr>
            <w:r>
              <w:rPr>
                <w:rFonts w:ascii="Times New Roman" w:cs="Times New Roman" w:eastAsia="Times New Roman" w:hAnsi="Times New Roman"/>
                <w:sz w:val="18"/>
                <w:szCs w:val="18"/>
                <w:color w:val="auto"/>
              </w:rPr>
              <w:t>374,446</w:t>
            </w:r>
          </w:p>
        </w:tc>
        <w:tc>
          <w:tcPr>
            <w:tcW w:w="80" w:type="dxa"/>
            <w:vAlign w:val="bottom"/>
            <w:tcBorders>
              <w:top w:val="single" w:sz="8" w:color="DBDBDB"/>
            </w:tcBorders>
            <w:shd w:val="clear" w:color="auto" w:fill="DBDBDB"/>
          </w:tcPr>
          <w:p>
            <w:pPr>
              <w:spacing w:after="0"/>
              <w:rPr>
                <w:sz w:val="19"/>
                <w:szCs w:val="19"/>
                <w:color w:val="auto"/>
              </w:rPr>
            </w:pPr>
          </w:p>
        </w:tc>
        <w:tc>
          <w:tcPr>
            <w:tcW w:w="2340" w:type="dxa"/>
            <w:vAlign w:val="bottom"/>
            <w:tcBorders>
              <w:top w:val="single" w:sz="8" w:color="auto"/>
            </w:tcBorders>
            <w:shd w:val="clear" w:color="auto" w:fill="DBDBDB"/>
          </w:tcPr>
          <w:p>
            <w:pPr>
              <w:jc w:val="right"/>
              <w:ind w:right="570"/>
              <w:spacing w:after="0"/>
              <w:rPr>
                <w:sz w:val="20"/>
                <w:szCs w:val="20"/>
                <w:color w:val="auto"/>
              </w:rPr>
            </w:pPr>
            <w:r>
              <w:rPr>
                <w:rFonts w:ascii="Times New Roman" w:cs="Times New Roman" w:eastAsia="Times New Roman" w:hAnsi="Times New Roman"/>
                <w:sz w:val="18"/>
                <w:szCs w:val="18"/>
                <w:color w:val="auto"/>
              </w:rPr>
              <w:t>72,006</w:t>
            </w:r>
          </w:p>
        </w:tc>
        <w:tc>
          <w:tcPr>
            <w:tcW w:w="240" w:type="dxa"/>
            <w:vAlign w:val="bottom"/>
            <w:tcBorders>
              <w:top w:val="single" w:sz="8" w:color="DBDBDB"/>
            </w:tcBorders>
            <w:shd w:val="clear" w:color="auto" w:fill="DBDBDB"/>
          </w:tcPr>
          <w:p>
            <w:pPr>
              <w:spacing w:after="0"/>
              <w:rPr>
                <w:sz w:val="19"/>
                <w:szCs w:val="19"/>
                <w:color w:val="auto"/>
              </w:rPr>
            </w:pPr>
          </w:p>
        </w:tc>
        <w:tc>
          <w:tcPr>
            <w:tcW w:w="2320" w:type="dxa"/>
            <w:vAlign w:val="bottom"/>
            <w:tcBorders>
              <w:top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N/A</w:t>
            </w: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81" w:lineRule="exact"/>
        <w:rPr>
          <w:sz w:val="20"/>
          <w:szCs w:val="20"/>
          <w:color w:val="auto"/>
        </w:rPr>
      </w:pPr>
    </w:p>
    <w:p>
      <w:pPr>
        <w:ind w:left="1180" w:hanging="1154"/>
        <w:spacing w:after="0"/>
        <w:tabs>
          <w:tab w:leader="none" w:pos="1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85" w:lineRule="exact"/>
        <w:rPr>
          <w:sz w:val="20"/>
          <w:szCs w:val="20"/>
          <w:color w:val="auto"/>
        </w:rPr>
      </w:pPr>
    </w:p>
    <w:p>
      <w:pPr>
        <w:ind w:left="1180" w:hanging="1154"/>
        <w:spacing w:after="0"/>
        <w:tabs>
          <w:tab w:leader="none" w:pos="1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973455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43"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APOGEE ENTERPRISES, INC.</w:t>
      </w:r>
    </w:p>
    <w:p>
      <w:pPr>
        <w:spacing w:after="0" w:line="34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Bryan A. Welp</w:t>
      </w:r>
    </w:p>
    <w:p>
      <w:pPr>
        <w:spacing w:after="0" w:line="3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Bryan A. Welp</w:t>
      </w:r>
    </w:p>
    <w:p>
      <w:pPr>
        <w:spacing w:after="0" w:line="2"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Vice President, General Counsel and Secretary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29, 2026</w:t>
      </w:r>
    </w:p>
    <w:sectPr>
      <w:pgSz w:w="11900" w:h="16838" w:orient="portrait"/>
      <w:cols w:equalWidth="0" w:num="1">
        <w:col w:w="11160"/>
      </w:cols>
      <w:pgMar w:left="320" w:top="617"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2"/>
    </w:lvl>
  </w:abstractNum>
  <w:abstractNum w:abstractNumId="3">
    <w:nsid w:val="3D1B58BA"/>
    <w:multiLevelType w:val="hybridMultilevel"/>
    <w:lvl w:ilvl="0">
      <w:lvlJc w:val="left"/>
      <w:lvlText w:val="%1."/>
      <w:numFmt w:val="decimal"/>
      <w:start w:val="3"/>
    </w:lvl>
  </w:abstractNum>
  <w:abstractNum w:abstractNumId="4">
    <w:nsid w:val="507ED7AB"/>
    <w:multiLevelType w:val="hybridMultilevel"/>
    <w:lvl w:ilvl="0">
      <w:lvlJc w:val="left"/>
      <w:lvlText w:val="%1."/>
      <w:numFmt w:val="decimal"/>
      <w:start w:val="4"/>
    </w:lvl>
  </w:abstractNum>
  <w:abstractNum w:abstractNumId="5">
    <w:nsid w:val="2EB141F2"/>
    <w:multiLevelType w:val="hybridMultilevel"/>
    <w:lvl w:ilvl="0">
      <w:lvlJc w:val="left"/>
      <w:lvlText w:val="(%1)"/>
      <w:numFmt w:val="lowerLetter"/>
      <w:start w:val="4"/>
    </w:lvl>
  </w:abstractNum>
  <w:abstractNum w:abstractNumId="6">
    <w:nsid w:val="41B71EFB"/>
    <w:multiLevelType w:val="hybridMultilevel"/>
    <w:lvl w:ilvl="0">
      <w:lvlJc w:val="left"/>
      <w:lvlText w:val="%1"/>
      <w:numFmt w:val="decimal"/>
      <w:start w:val="10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2026-06-29T10:43:37Z</dcterms:created>
  <dcterms:modified xsi:type="dcterms:W3CDTF">2026-06-29T10:43:37Z</dcterms:modified>
</cp:coreProperties>
</file>